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B1F9" w14:textId="067EB467" w:rsidR="00326C6A" w:rsidRPr="004E4528" w:rsidRDefault="005E12FA" w:rsidP="005E12FA">
      <w:pPr>
        <w:ind w:left="720" w:hanging="720"/>
        <w:jc w:val="center"/>
        <w:rPr>
          <w:rFonts w:ascii="Arial Narrow" w:hAnsi="Arial Narrow"/>
          <w:sz w:val="32"/>
          <w:szCs w:val="32"/>
        </w:rPr>
      </w:pPr>
      <w:r>
        <w:rPr>
          <w:rFonts w:ascii="Arial Narrow" w:hAnsi="Arial Narrow"/>
          <w:noProof/>
          <w:sz w:val="24"/>
          <w:szCs w:val="24"/>
        </w:rPr>
        <w:drawing>
          <wp:anchor distT="0" distB="0" distL="114300" distR="114300" simplePos="0" relativeHeight="251658240" behindDoc="0" locked="0" layoutInCell="1" allowOverlap="1" wp14:anchorId="0CE7ED66" wp14:editId="4928A680">
            <wp:simplePos x="0" y="0"/>
            <wp:positionH relativeFrom="column">
              <wp:posOffset>9586693</wp:posOffset>
            </wp:positionH>
            <wp:positionV relativeFrom="paragraph">
              <wp:posOffset>488</wp:posOffset>
            </wp:positionV>
            <wp:extent cx="2178685" cy="765810"/>
            <wp:effectExtent l="0" t="0" r="0" b="0"/>
            <wp:wrapThrough wrapText="bothSides">
              <wp:wrapPolygon edited="0">
                <wp:start x="2078" y="0"/>
                <wp:lineTo x="0" y="3761"/>
                <wp:lineTo x="0" y="14507"/>
                <wp:lineTo x="378" y="17731"/>
                <wp:lineTo x="1889" y="20955"/>
                <wp:lineTo x="2078" y="20955"/>
                <wp:lineTo x="5288" y="20955"/>
                <wp:lineTo x="5477" y="20955"/>
                <wp:lineTo x="7177" y="17194"/>
                <wp:lineTo x="21342" y="12358"/>
                <wp:lineTo x="21342" y="6985"/>
                <wp:lineTo x="5288" y="0"/>
                <wp:lineTo x="2078" y="0"/>
              </wp:wrapPolygon>
            </wp:wrapThrough>
            <wp:docPr id="1938946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46029" name="Picture 193894602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8685" cy="765810"/>
                    </a:xfrm>
                    <a:prstGeom prst="rect">
                      <a:avLst/>
                    </a:prstGeom>
                  </pic:spPr>
                </pic:pic>
              </a:graphicData>
            </a:graphic>
          </wp:anchor>
        </w:drawing>
      </w:r>
      <w:r w:rsidR="00EA2674" w:rsidRPr="004E4528">
        <w:rPr>
          <w:rFonts w:ascii="Arial Narrow" w:hAnsi="Arial Narrow"/>
          <w:b/>
          <w:bCs/>
          <w:sz w:val="32"/>
          <w:szCs w:val="32"/>
        </w:rPr>
        <w:t>2026 Proposed Head Start Rule Crosswalk</w:t>
      </w:r>
    </w:p>
    <w:p w14:paraId="65A29723" w14:textId="26EF65FF" w:rsidR="00326C6A" w:rsidRPr="004E4528" w:rsidRDefault="00EA2674" w:rsidP="005E12FA">
      <w:pPr>
        <w:jc w:val="center"/>
        <w:rPr>
          <w:rFonts w:ascii="Arial Narrow" w:hAnsi="Arial Narrow"/>
          <w:sz w:val="24"/>
          <w:szCs w:val="24"/>
        </w:rPr>
      </w:pPr>
      <w:r w:rsidRPr="004E4528">
        <w:rPr>
          <w:rFonts w:ascii="Arial Narrow" w:hAnsi="Arial Narrow"/>
          <w:b/>
          <w:bCs/>
          <w:sz w:val="24"/>
          <w:szCs w:val="24"/>
        </w:rPr>
        <w:t>Current HSPPS vs. August 7, 2026 Proposed Rule vs. Head Start Act</w:t>
      </w:r>
    </w:p>
    <w:p w14:paraId="650905B7" w14:textId="77777777" w:rsidR="005E12FA" w:rsidRDefault="005E12FA">
      <w:pPr>
        <w:spacing w:after="80"/>
        <w:rPr>
          <w:rFonts w:ascii="Arial Narrow" w:hAnsi="Arial Narrow"/>
          <w:b/>
          <w:bCs/>
          <w:sz w:val="24"/>
          <w:szCs w:val="24"/>
        </w:rPr>
      </w:pPr>
    </w:p>
    <w:p w14:paraId="298D1952" w14:textId="2F8A3B13" w:rsidR="00326C6A" w:rsidRPr="004E4528" w:rsidRDefault="00EA2674">
      <w:pPr>
        <w:spacing w:after="80"/>
        <w:rPr>
          <w:rFonts w:ascii="Arial Narrow" w:hAnsi="Arial Narrow"/>
          <w:sz w:val="24"/>
          <w:szCs w:val="24"/>
        </w:rPr>
      </w:pPr>
      <w:r w:rsidRPr="004E4528">
        <w:rPr>
          <w:rFonts w:ascii="Arial Narrow" w:hAnsi="Arial Narrow"/>
          <w:b/>
          <w:bCs/>
          <w:sz w:val="24"/>
          <w:szCs w:val="24"/>
        </w:rPr>
        <w:t xml:space="preserve">Important: </w:t>
      </w:r>
      <w:r w:rsidRPr="004E4528">
        <w:rPr>
          <w:rFonts w:ascii="Arial Narrow" w:hAnsi="Arial Narrow"/>
          <w:sz w:val="24"/>
          <w:szCs w:val="24"/>
        </w:rPr>
        <w:t xml:space="preserve">This document is a planning crosswalk based on the August 7, 2026 Notice of Proposed Rulemaking and the attached Head Start Act. The proposed rule is not yet final. No policy or practice should be discontinued solely because a current HSPPS provision is proposed for removal. Requirements may remain binding through the Head Start Act, IDEA, CACFP/USDA, </w:t>
      </w:r>
      <w:r w:rsidR="008E57C3" w:rsidRPr="004E4528">
        <w:rPr>
          <w:rFonts w:ascii="Arial Narrow" w:hAnsi="Arial Narrow"/>
          <w:sz w:val="24"/>
          <w:szCs w:val="24"/>
        </w:rPr>
        <w:t>Florida</w:t>
      </w:r>
      <w:r w:rsidRPr="004E4528">
        <w:rPr>
          <w:rFonts w:ascii="Arial Narrow" w:hAnsi="Arial Narrow"/>
          <w:sz w:val="24"/>
          <w:szCs w:val="24"/>
        </w:rPr>
        <w:t xml:space="preserve"> Child Care Licensing, other federal or state law, or policy.</w:t>
      </w:r>
    </w:p>
    <w:p w14:paraId="25111F14" w14:textId="77777777" w:rsidR="00326C6A" w:rsidRPr="004E4528" w:rsidRDefault="00EA2674">
      <w:pPr>
        <w:spacing w:after="120"/>
        <w:rPr>
          <w:rFonts w:ascii="Arial Narrow" w:hAnsi="Arial Narrow"/>
          <w:sz w:val="24"/>
          <w:szCs w:val="24"/>
        </w:rPr>
      </w:pPr>
      <w:r w:rsidRPr="004E4528">
        <w:rPr>
          <w:rFonts w:ascii="Arial Narrow" w:hAnsi="Arial Narrow"/>
          <w:b/>
          <w:bCs/>
          <w:sz w:val="24"/>
          <w:szCs w:val="24"/>
        </w:rPr>
        <w:t xml:space="preserve">Status key: </w:t>
      </w:r>
      <w:r w:rsidRPr="004E4528">
        <w:rPr>
          <w:rFonts w:ascii="Arial Narrow" w:hAnsi="Arial Narrow"/>
          <w:sz w:val="24"/>
          <w:szCs w:val="24"/>
        </w:rPr>
        <w:t>STILL REQUIRED - requirement remains through the Act or other applicable law;  FLEXIBILITY/REMOVED - prescriptive federal HSPPS requirement is proposed for removal or reduction;  NEW/CHANGED - new or materially changed proposed federal requirement;  MOSTLY CONTINUES - streamlined but substantively similar requirement remains.</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6"/>
        <w:gridCol w:w="2425"/>
        <w:gridCol w:w="2066"/>
        <w:gridCol w:w="1987"/>
        <w:gridCol w:w="3510"/>
        <w:gridCol w:w="2541"/>
        <w:gridCol w:w="3315"/>
        <w:gridCol w:w="1160"/>
      </w:tblGrid>
      <w:tr w:rsidR="00EE3430" w:rsidRPr="004E4528" w14:paraId="6F288A82" w14:textId="77777777" w:rsidTr="005056A3">
        <w:trPr>
          <w:cantSplit/>
          <w:trHeight w:val="512"/>
          <w:tblHeader/>
        </w:trPr>
        <w:tc>
          <w:tcPr>
            <w:tcW w:w="456" w:type="pct"/>
            <w:shd w:val="clear" w:color="auto" w:fill="D9EAF7"/>
            <w:vAlign w:val="center"/>
          </w:tcPr>
          <w:p w14:paraId="1CE21643" w14:textId="77777777" w:rsidR="00EE3430" w:rsidRPr="004E4528" w:rsidRDefault="00EE3430">
            <w:pPr>
              <w:jc w:val="center"/>
              <w:rPr>
                <w:rFonts w:ascii="Arial Narrow" w:hAnsi="Arial Narrow"/>
                <w:sz w:val="24"/>
                <w:szCs w:val="24"/>
              </w:rPr>
            </w:pPr>
            <w:r w:rsidRPr="004E4528">
              <w:rPr>
                <w:rFonts w:ascii="Arial Narrow" w:hAnsi="Arial Narrow"/>
                <w:b/>
                <w:bCs/>
                <w:sz w:val="24"/>
                <w:szCs w:val="24"/>
              </w:rPr>
              <w:t>Service Area / Requirement</w:t>
            </w:r>
          </w:p>
        </w:tc>
        <w:tc>
          <w:tcPr>
            <w:tcW w:w="648" w:type="pct"/>
            <w:shd w:val="clear" w:color="auto" w:fill="D9EAF7"/>
            <w:vAlign w:val="center"/>
          </w:tcPr>
          <w:p w14:paraId="287CD392" w14:textId="77777777" w:rsidR="00EE3430" w:rsidRPr="004E4528" w:rsidRDefault="00EE3430">
            <w:pPr>
              <w:jc w:val="center"/>
              <w:rPr>
                <w:rFonts w:ascii="Arial Narrow" w:hAnsi="Arial Narrow"/>
                <w:sz w:val="24"/>
                <w:szCs w:val="24"/>
              </w:rPr>
            </w:pPr>
            <w:r w:rsidRPr="004E4528">
              <w:rPr>
                <w:rFonts w:ascii="Arial Narrow" w:hAnsi="Arial Narrow"/>
                <w:b/>
                <w:bCs/>
                <w:sz w:val="24"/>
                <w:szCs w:val="24"/>
              </w:rPr>
              <w:t>Current HSPPS</w:t>
            </w:r>
          </w:p>
        </w:tc>
        <w:tc>
          <w:tcPr>
            <w:tcW w:w="552" w:type="pct"/>
            <w:shd w:val="clear" w:color="auto" w:fill="D9EAF7"/>
            <w:vAlign w:val="center"/>
          </w:tcPr>
          <w:p w14:paraId="57CD499A" w14:textId="77777777" w:rsidR="00EE3430" w:rsidRPr="004E4528" w:rsidRDefault="00EE3430">
            <w:pPr>
              <w:jc w:val="center"/>
              <w:rPr>
                <w:rFonts w:ascii="Arial Narrow" w:hAnsi="Arial Narrow"/>
                <w:sz w:val="24"/>
                <w:szCs w:val="24"/>
              </w:rPr>
            </w:pPr>
            <w:r w:rsidRPr="004E4528">
              <w:rPr>
                <w:rFonts w:ascii="Arial Narrow" w:hAnsi="Arial Narrow"/>
                <w:b/>
                <w:bCs/>
                <w:sz w:val="24"/>
                <w:szCs w:val="24"/>
              </w:rPr>
              <w:t>2026 Proposed Rule</w:t>
            </w:r>
          </w:p>
        </w:tc>
        <w:tc>
          <w:tcPr>
            <w:tcW w:w="531" w:type="pct"/>
            <w:shd w:val="clear" w:color="auto" w:fill="D9EAF7"/>
            <w:vAlign w:val="center"/>
          </w:tcPr>
          <w:p w14:paraId="798D704F" w14:textId="77777777" w:rsidR="00EE3430" w:rsidRPr="004E4528" w:rsidRDefault="00EE3430">
            <w:pPr>
              <w:jc w:val="center"/>
              <w:rPr>
                <w:rFonts w:ascii="Arial Narrow" w:hAnsi="Arial Narrow"/>
                <w:sz w:val="24"/>
                <w:szCs w:val="24"/>
              </w:rPr>
            </w:pPr>
            <w:r w:rsidRPr="004E4528">
              <w:rPr>
                <w:rFonts w:ascii="Arial Narrow" w:hAnsi="Arial Narrow"/>
                <w:b/>
                <w:bCs/>
                <w:sz w:val="24"/>
                <w:szCs w:val="24"/>
              </w:rPr>
              <w:t>Head Start Act / Other Requirement That Remains</w:t>
            </w:r>
          </w:p>
        </w:tc>
        <w:tc>
          <w:tcPr>
            <w:tcW w:w="938" w:type="pct"/>
            <w:shd w:val="clear" w:color="auto" w:fill="D9EAF7"/>
          </w:tcPr>
          <w:p w14:paraId="14D3FE31" w14:textId="36515633" w:rsidR="00EE3430" w:rsidRPr="004E4528" w:rsidRDefault="00EE3430">
            <w:pPr>
              <w:jc w:val="center"/>
              <w:rPr>
                <w:rFonts w:ascii="Arial Narrow" w:hAnsi="Arial Narrow"/>
                <w:b/>
                <w:bCs/>
                <w:sz w:val="24"/>
                <w:szCs w:val="24"/>
              </w:rPr>
            </w:pPr>
            <w:r w:rsidRPr="004E4528">
              <w:rPr>
                <w:rFonts w:ascii="Arial Narrow" w:hAnsi="Arial Narrow"/>
                <w:b/>
                <w:bCs/>
                <w:sz w:val="24"/>
                <w:szCs w:val="24"/>
              </w:rPr>
              <w:t>Florida Statute / Rule / Licensing Reference</w:t>
            </w:r>
          </w:p>
        </w:tc>
        <w:tc>
          <w:tcPr>
            <w:tcW w:w="679" w:type="pct"/>
            <w:shd w:val="clear" w:color="auto" w:fill="D9EAF7"/>
            <w:vAlign w:val="center"/>
          </w:tcPr>
          <w:p w14:paraId="421A7EF6" w14:textId="6BDCE898" w:rsidR="00EE3430" w:rsidRPr="004E4528" w:rsidRDefault="00EE3430">
            <w:pPr>
              <w:jc w:val="center"/>
              <w:rPr>
                <w:rFonts w:ascii="Arial Narrow" w:hAnsi="Arial Narrow"/>
                <w:sz w:val="24"/>
                <w:szCs w:val="24"/>
              </w:rPr>
            </w:pPr>
            <w:r w:rsidRPr="004E4528">
              <w:rPr>
                <w:rFonts w:ascii="Arial Narrow" w:hAnsi="Arial Narrow"/>
                <w:b/>
                <w:bCs/>
                <w:sz w:val="24"/>
                <w:szCs w:val="24"/>
              </w:rPr>
              <w:t>Status</w:t>
            </w:r>
          </w:p>
        </w:tc>
        <w:tc>
          <w:tcPr>
            <w:tcW w:w="886" w:type="pct"/>
            <w:shd w:val="clear" w:color="auto" w:fill="D9EAF7"/>
            <w:vAlign w:val="center"/>
          </w:tcPr>
          <w:p w14:paraId="0D856B60" w14:textId="77777777" w:rsidR="00EE3430" w:rsidRPr="004E4528" w:rsidRDefault="00EE3430">
            <w:pPr>
              <w:jc w:val="center"/>
              <w:rPr>
                <w:rFonts w:ascii="Arial Narrow" w:hAnsi="Arial Narrow"/>
                <w:sz w:val="24"/>
                <w:szCs w:val="24"/>
              </w:rPr>
            </w:pPr>
            <w:r w:rsidRPr="004E4528">
              <w:rPr>
                <w:rFonts w:ascii="Arial Narrow" w:hAnsi="Arial Narrow"/>
                <w:b/>
                <w:bCs/>
                <w:sz w:val="24"/>
                <w:szCs w:val="24"/>
              </w:rPr>
              <w:t>Potential Program Impact</w:t>
            </w:r>
          </w:p>
        </w:tc>
        <w:tc>
          <w:tcPr>
            <w:tcW w:w="310" w:type="pct"/>
            <w:shd w:val="clear" w:color="auto" w:fill="D9EAF7"/>
            <w:vAlign w:val="center"/>
          </w:tcPr>
          <w:p w14:paraId="52750AB4" w14:textId="77777777" w:rsidR="00EE3430" w:rsidRPr="004E4528" w:rsidRDefault="00EE3430">
            <w:pPr>
              <w:jc w:val="center"/>
              <w:rPr>
                <w:rFonts w:ascii="Arial Narrow" w:hAnsi="Arial Narrow"/>
                <w:sz w:val="24"/>
                <w:szCs w:val="24"/>
              </w:rPr>
            </w:pPr>
            <w:r w:rsidRPr="004E4528">
              <w:rPr>
                <w:rFonts w:ascii="Arial Narrow" w:hAnsi="Arial Narrow"/>
                <w:b/>
                <w:bCs/>
                <w:sz w:val="24"/>
                <w:szCs w:val="24"/>
              </w:rPr>
              <w:t>Priority</w:t>
            </w:r>
          </w:p>
        </w:tc>
      </w:tr>
      <w:tr w:rsidR="00EE3430" w:rsidRPr="004E4528" w14:paraId="59E6241E" w14:textId="77777777" w:rsidTr="005056A3">
        <w:trPr>
          <w:cantSplit/>
        </w:trPr>
        <w:tc>
          <w:tcPr>
            <w:tcW w:w="456" w:type="pct"/>
          </w:tcPr>
          <w:p w14:paraId="01568562"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Overall regulatory structure</w:t>
            </w:r>
          </w:p>
        </w:tc>
        <w:tc>
          <w:tcPr>
            <w:tcW w:w="648" w:type="pct"/>
          </w:tcPr>
          <w:p w14:paraId="6F47A04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Detailed requirements across 45 CFR Parts 1301-1305.</w:t>
            </w:r>
          </w:p>
        </w:tc>
        <w:tc>
          <w:tcPr>
            <w:tcW w:w="552" w:type="pct"/>
          </w:tcPr>
          <w:p w14:paraId="29DD571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Rescinds current Parts 1301-1305 and replaces them with a streamlined Part 1301.</w:t>
            </w:r>
          </w:p>
        </w:tc>
        <w:tc>
          <w:tcPr>
            <w:tcW w:w="531" w:type="pct"/>
          </w:tcPr>
          <w:p w14:paraId="2B628CFB" w14:textId="0FFAEA33" w:rsidR="00EE3430" w:rsidRPr="004E4528" w:rsidRDefault="00EE3430">
            <w:pPr>
              <w:spacing w:line="228" w:lineRule="auto"/>
              <w:rPr>
                <w:rFonts w:ascii="Arial Narrow" w:hAnsi="Arial Narrow"/>
                <w:sz w:val="24"/>
                <w:szCs w:val="24"/>
              </w:rPr>
            </w:pPr>
            <w:r w:rsidRPr="004E4528">
              <w:rPr>
                <w:rFonts w:ascii="Arial Narrow" w:hAnsi="Arial Narrow"/>
                <w:sz w:val="24"/>
                <w:szCs w:val="24"/>
              </w:rPr>
              <w:t>All statutory requirements in the Head Start Act remain fully binding; other federal and state requirements also remain in effect.</w:t>
            </w:r>
          </w:p>
        </w:tc>
        <w:tc>
          <w:tcPr>
            <w:tcW w:w="938" w:type="pct"/>
          </w:tcPr>
          <w:p w14:paraId="45F42B34" w14:textId="19B750FA" w:rsidR="00EE3430" w:rsidRPr="004E4528" w:rsidRDefault="006D2EEE" w:rsidP="006D2EEE">
            <w:pPr>
              <w:spacing w:line="228" w:lineRule="auto"/>
              <w:rPr>
                <w:rFonts w:ascii="Arial Narrow" w:hAnsi="Arial Narrow"/>
                <w:sz w:val="24"/>
                <w:szCs w:val="24"/>
              </w:rPr>
            </w:pPr>
            <w:r w:rsidRPr="004E4528">
              <w:rPr>
                <w:rFonts w:ascii="Arial Narrow" w:hAnsi="Arial Narrow"/>
                <w:sz w:val="24"/>
                <w:szCs w:val="24"/>
              </w:rPr>
              <w:t>Program/system framework: F.S. §1002.82, §1002.84, §1002.85 (DEL and coalition powers, plans); Rule 6M</w:t>
            </w:r>
            <w:r w:rsidRPr="004E4528">
              <w:rPr>
                <w:rFonts w:ascii="Cambria Math" w:hAnsi="Cambria Math" w:cs="Cambria Math"/>
                <w:sz w:val="24"/>
                <w:szCs w:val="24"/>
              </w:rPr>
              <w:t>‑</w:t>
            </w:r>
            <w:r w:rsidRPr="004E4528">
              <w:rPr>
                <w:rFonts w:ascii="Arial Narrow" w:hAnsi="Arial Narrow"/>
                <w:sz w:val="24"/>
                <w:szCs w:val="24"/>
              </w:rPr>
              <w:t>9.115, F.A.C. (School Readiness plans). Licensing framework: F.S. §402.305; Ch. 65C</w:t>
            </w:r>
            <w:r w:rsidRPr="004E4528">
              <w:rPr>
                <w:rFonts w:ascii="Cambria Math" w:hAnsi="Cambria Math" w:cs="Cambria Math"/>
                <w:sz w:val="24"/>
                <w:szCs w:val="24"/>
              </w:rPr>
              <w:t>‑</w:t>
            </w:r>
            <w:r w:rsidRPr="004E4528">
              <w:rPr>
                <w:rFonts w:ascii="Arial Narrow" w:hAnsi="Arial Narrow"/>
                <w:sz w:val="24"/>
                <w:szCs w:val="24"/>
              </w:rPr>
              <w:t>22, F.A.C. (child care facility standards and licensing).</w:t>
            </w:r>
          </w:p>
        </w:tc>
        <w:tc>
          <w:tcPr>
            <w:tcW w:w="679" w:type="pct"/>
            <w:shd w:val="clear" w:color="auto" w:fill="FCE4D6"/>
          </w:tcPr>
          <w:p w14:paraId="7EC7568A" w14:textId="281843F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404FF8C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Compliance tools, policies and service delivery plans would need to reference the Act and state/federal law directly rather than relying primarily on HSPPS citations.</w:t>
            </w:r>
          </w:p>
        </w:tc>
        <w:tc>
          <w:tcPr>
            <w:tcW w:w="310" w:type="pct"/>
            <w:shd w:val="clear" w:color="auto" w:fill="F4CCCC"/>
          </w:tcPr>
          <w:p w14:paraId="57079B85"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07C4E56C" w14:textId="77777777" w:rsidTr="005056A3">
        <w:trPr>
          <w:cantSplit/>
        </w:trPr>
        <w:tc>
          <w:tcPr>
            <w:tcW w:w="456" w:type="pct"/>
          </w:tcPr>
          <w:p w14:paraId="6D0474D4"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Governing Body &amp; Policy Council</w:t>
            </w:r>
          </w:p>
        </w:tc>
        <w:tc>
          <w:tcPr>
            <w:tcW w:w="648" w:type="pct"/>
          </w:tcPr>
          <w:p w14:paraId="5F02D25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Detailed governance requirements in Part 1301.</w:t>
            </w:r>
          </w:p>
        </w:tc>
        <w:tc>
          <w:tcPr>
            <w:tcW w:w="552" w:type="pct"/>
          </w:tcPr>
          <w:p w14:paraId="0A4D229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Much of the regulatory language is removed as duplicative.</w:t>
            </w:r>
          </w:p>
        </w:tc>
        <w:tc>
          <w:tcPr>
            <w:tcW w:w="531" w:type="pct"/>
          </w:tcPr>
          <w:p w14:paraId="4C3598EE"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Head Start Act §642(c)-(d) continues to require a Governing Body, Policy Council and, when applicable, Policy Committee.</w:t>
            </w:r>
          </w:p>
        </w:tc>
        <w:tc>
          <w:tcPr>
            <w:tcW w:w="938" w:type="pct"/>
          </w:tcPr>
          <w:p w14:paraId="4C90CEC5" w14:textId="650CD16E" w:rsidR="00EE3430" w:rsidRPr="004E4528" w:rsidRDefault="006D2EEE" w:rsidP="006D2EEE">
            <w:pPr>
              <w:spacing w:line="228" w:lineRule="auto"/>
              <w:rPr>
                <w:rFonts w:ascii="Arial Narrow" w:hAnsi="Arial Narrow"/>
                <w:sz w:val="24"/>
                <w:szCs w:val="24"/>
              </w:rPr>
            </w:pPr>
            <w:r w:rsidRPr="004E4528">
              <w:rPr>
                <w:rFonts w:ascii="Arial Narrow" w:hAnsi="Arial Narrow"/>
                <w:sz w:val="24"/>
                <w:szCs w:val="24"/>
              </w:rPr>
              <w:t>No Florida statute creates a Head Start</w:t>
            </w:r>
            <w:r w:rsidRPr="004E4528">
              <w:rPr>
                <w:rFonts w:ascii="Cambria Math" w:hAnsi="Cambria Math" w:cs="Cambria Math"/>
                <w:sz w:val="24"/>
                <w:szCs w:val="24"/>
              </w:rPr>
              <w:t>‑</w:t>
            </w:r>
            <w:r w:rsidRPr="004E4528">
              <w:rPr>
                <w:rFonts w:ascii="Arial Narrow" w:hAnsi="Arial Narrow"/>
                <w:sz w:val="24"/>
                <w:szCs w:val="24"/>
              </w:rPr>
              <w:t>style Governing Body/Policy Council. Comparable governance expectations exist at the coalition level: F.S. §1002.83 (Early Learning Coalitions; composition) and §1002.84 (coalition powers and duties).</w:t>
            </w:r>
          </w:p>
        </w:tc>
        <w:tc>
          <w:tcPr>
            <w:tcW w:w="679" w:type="pct"/>
            <w:shd w:val="clear" w:color="auto" w:fill="E2F0D9"/>
          </w:tcPr>
          <w:p w14:paraId="3F38CFA2" w14:textId="0D17291C"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w:t>
            </w:r>
          </w:p>
        </w:tc>
        <w:tc>
          <w:tcPr>
            <w:tcW w:w="886" w:type="pct"/>
          </w:tcPr>
          <w:p w14:paraId="0182464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Do not remove Policy Council or governing body responsibilities. Governance policies may be simplified but must still reflect statutory roles, composition and approvals.</w:t>
            </w:r>
          </w:p>
        </w:tc>
        <w:tc>
          <w:tcPr>
            <w:tcW w:w="310" w:type="pct"/>
            <w:shd w:val="clear" w:color="auto" w:fill="F4CCCC"/>
          </w:tcPr>
          <w:p w14:paraId="7DCEF61E"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659867ED" w14:textId="77777777" w:rsidTr="005056A3">
        <w:trPr>
          <w:cantSplit/>
        </w:trPr>
        <w:tc>
          <w:tcPr>
            <w:tcW w:w="456" w:type="pct"/>
          </w:tcPr>
          <w:p w14:paraId="27A21D4E"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Parent Committees</w:t>
            </w:r>
          </w:p>
        </w:tc>
        <w:tc>
          <w:tcPr>
            <w:tcW w:w="648" w:type="pct"/>
          </w:tcPr>
          <w:p w14:paraId="114AEE3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§1301.4 requires parent committees at each center.</w:t>
            </w:r>
          </w:p>
        </w:tc>
        <w:tc>
          <w:tcPr>
            <w:tcW w:w="552" w:type="pct"/>
          </w:tcPr>
          <w:p w14:paraId="02A256C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§1301.01 makes parent committees optional and allows local bylaws/structure.</w:t>
            </w:r>
          </w:p>
        </w:tc>
        <w:tc>
          <w:tcPr>
            <w:tcW w:w="531" w:type="pct"/>
          </w:tcPr>
          <w:p w14:paraId="28E7E81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does not impose the same center-level parent committee requirement.</w:t>
            </w:r>
          </w:p>
        </w:tc>
        <w:tc>
          <w:tcPr>
            <w:tcW w:w="938" w:type="pct"/>
          </w:tcPr>
          <w:p w14:paraId="0860CF98" w14:textId="118B22F2" w:rsidR="00EE3430" w:rsidRPr="004E4528" w:rsidRDefault="00955FC7" w:rsidP="006D2EEE">
            <w:pPr>
              <w:spacing w:line="228" w:lineRule="auto"/>
              <w:rPr>
                <w:rFonts w:ascii="Arial Narrow" w:hAnsi="Arial Narrow"/>
                <w:sz w:val="24"/>
                <w:szCs w:val="24"/>
              </w:rPr>
            </w:pPr>
            <w:r w:rsidRPr="004E4528">
              <w:rPr>
                <w:rFonts w:ascii="Arial Narrow" w:hAnsi="Arial Narrow"/>
                <w:sz w:val="24"/>
                <w:szCs w:val="24"/>
              </w:rPr>
              <w:t>No direct Florida requirement for center</w:t>
            </w:r>
            <w:r w:rsidRPr="004E4528">
              <w:rPr>
                <w:rFonts w:ascii="Cambria Math" w:hAnsi="Cambria Math" w:cs="Cambria Math"/>
                <w:sz w:val="24"/>
                <w:szCs w:val="24"/>
              </w:rPr>
              <w:t>‑</w:t>
            </w:r>
            <w:r w:rsidRPr="004E4528">
              <w:rPr>
                <w:rFonts w:ascii="Arial Narrow" w:hAnsi="Arial Narrow"/>
                <w:sz w:val="24"/>
                <w:szCs w:val="24"/>
              </w:rPr>
              <w:t>level parent committees. Family engagement expectations appear broadly in SR/VPK guidance and CCR&amp;R: F.S. §1002.92; Rule 6M</w:t>
            </w:r>
            <w:r w:rsidRPr="004E4528">
              <w:rPr>
                <w:rFonts w:ascii="Cambria Math" w:hAnsi="Cambria Math" w:cs="Cambria Math"/>
                <w:sz w:val="24"/>
                <w:szCs w:val="24"/>
              </w:rPr>
              <w:t>‑</w:t>
            </w:r>
            <w:r w:rsidRPr="004E4528">
              <w:rPr>
                <w:rFonts w:ascii="Arial Narrow" w:hAnsi="Arial Narrow"/>
                <w:sz w:val="24"/>
                <w:szCs w:val="24"/>
              </w:rPr>
              <w:t>9.300, F.A.C. (consumer education and family communication).</w:t>
            </w:r>
          </w:p>
        </w:tc>
        <w:tc>
          <w:tcPr>
            <w:tcW w:w="679" w:type="pct"/>
            <w:shd w:val="clear" w:color="auto" w:fill="FFF2CC"/>
          </w:tcPr>
          <w:p w14:paraId="63C04F84" w14:textId="778A1BFE"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63B7678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could determine whether site-level Parent Committees remain useful as an agency practice.</w:t>
            </w:r>
          </w:p>
        </w:tc>
        <w:tc>
          <w:tcPr>
            <w:tcW w:w="310" w:type="pct"/>
            <w:shd w:val="clear" w:color="auto" w:fill="FFF2CC"/>
          </w:tcPr>
          <w:p w14:paraId="0E0B6117"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05FEAEA3" w14:textId="77777777" w:rsidTr="005056A3">
        <w:trPr>
          <w:cantSplit/>
        </w:trPr>
        <w:tc>
          <w:tcPr>
            <w:tcW w:w="456" w:type="pct"/>
          </w:tcPr>
          <w:p w14:paraId="22D7CE42"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Community assessment</w:t>
            </w:r>
          </w:p>
        </w:tc>
        <w:tc>
          <w:tcPr>
            <w:tcW w:w="648" w:type="pct"/>
          </w:tcPr>
          <w:p w14:paraId="4C1087A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prescribes detailed community assessment requirements and periodic updates.</w:t>
            </w:r>
          </w:p>
        </w:tc>
        <w:tc>
          <w:tcPr>
            <w:tcW w:w="552" w:type="pct"/>
          </w:tcPr>
          <w:p w14:paraId="3131DF8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Detailed §1302.11 requirements are reduced; programs receive greater flexibility in process and data used.</w:t>
            </w:r>
          </w:p>
        </w:tc>
        <w:tc>
          <w:tcPr>
            <w:tcW w:w="531" w:type="pct"/>
          </w:tcPr>
          <w:p w14:paraId="6159E6A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continues to require program planning that is responsive to community strengths, needs and resources.</w:t>
            </w:r>
          </w:p>
        </w:tc>
        <w:tc>
          <w:tcPr>
            <w:tcW w:w="938" w:type="pct"/>
          </w:tcPr>
          <w:p w14:paraId="13AECD47" w14:textId="1BE0FA56" w:rsidR="00EE3430" w:rsidRPr="004E4528" w:rsidRDefault="001508D6" w:rsidP="006D2EEE">
            <w:pPr>
              <w:spacing w:line="228" w:lineRule="auto"/>
              <w:rPr>
                <w:rFonts w:ascii="Arial Narrow" w:hAnsi="Arial Narrow"/>
                <w:sz w:val="24"/>
                <w:szCs w:val="24"/>
              </w:rPr>
            </w:pPr>
            <w:r w:rsidRPr="004E4528">
              <w:rPr>
                <w:rFonts w:ascii="Arial Narrow" w:hAnsi="Arial Narrow"/>
                <w:sz w:val="24"/>
                <w:szCs w:val="24"/>
              </w:rPr>
              <w:t>F.S. §1002.85 (Early Learning Coalition Plans); Rule 6M</w:t>
            </w:r>
            <w:r w:rsidRPr="004E4528">
              <w:rPr>
                <w:rFonts w:ascii="Cambria Math" w:hAnsi="Cambria Math" w:cs="Cambria Math"/>
                <w:sz w:val="24"/>
                <w:szCs w:val="24"/>
              </w:rPr>
              <w:t>‑</w:t>
            </w:r>
            <w:r w:rsidRPr="004E4528">
              <w:rPr>
                <w:rFonts w:ascii="Arial Narrow" w:hAnsi="Arial Narrow"/>
                <w:sz w:val="24"/>
                <w:szCs w:val="24"/>
              </w:rPr>
              <w:t>9.115, F.A.C. (procedures and criteria for approval of School Readiness plans). Coalitions must use needs</w:t>
            </w:r>
            <w:r w:rsidRPr="004E4528">
              <w:rPr>
                <w:rFonts w:ascii="Cambria Math" w:hAnsi="Cambria Math" w:cs="Cambria Math"/>
                <w:sz w:val="24"/>
                <w:szCs w:val="24"/>
              </w:rPr>
              <w:t>‑</w:t>
            </w:r>
            <w:r w:rsidRPr="004E4528">
              <w:rPr>
                <w:rFonts w:ascii="Arial Narrow" w:hAnsi="Arial Narrow"/>
                <w:sz w:val="24"/>
                <w:szCs w:val="24"/>
              </w:rPr>
              <w:t>based planning, but individual providers are not required to conduct a Head Start</w:t>
            </w:r>
            <w:r w:rsidRPr="004E4528">
              <w:rPr>
                <w:rFonts w:ascii="Cambria Math" w:hAnsi="Cambria Math" w:cs="Cambria Math"/>
                <w:sz w:val="24"/>
                <w:szCs w:val="24"/>
              </w:rPr>
              <w:t>‑</w:t>
            </w:r>
            <w:r w:rsidRPr="004E4528">
              <w:rPr>
                <w:rFonts w:ascii="Arial Narrow" w:hAnsi="Arial Narrow"/>
                <w:sz w:val="24"/>
                <w:szCs w:val="24"/>
              </w:rPr>
              <w:t>style comprehensive community assessment.</w:t>
            </w:r>
          </w:p>
        </w:tc>
        <w:tc>
          <w:tcPr>
            <w:tcW w:w="679" w:type="pct"/>
            <w:shd w:val="clear" w:color="auto" w:fill="E2F0D9"/>
          </w:tcPr>
          <w:p w14:paraId="50F3A5D5" w14:textId="4B4AE7E3"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2E2DC98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Keep the Community Assessment, but may be able to simplify methodology and documentation while maintaining statutory responsiveness.</w:t>
            </w:r>
          </w:p>
        </w:tc>
        <w:tc>
          <w:tcPr>
            <w:tcW w:w="310" w:type="pct"/>
            <w:shd w:val="clear" w:color="auto" w:fill="FFF2CC"/>
          </w:tcPr>
          <w:p w14:paraId="2D99F2A7"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6C5CC342" w14:textId="77777777" w:rsidTr="005056A3">
        <w:trPr>
          <w:cantSplit/>
        </w:trPr>
        <w:tc>
          <w:tcPr>
            <w:tcW w:w="456" w:type="pct"/>
          </w:tcPr>
          <w:p w14:paraId="167E5F03"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ERSEA - eligibility</w:t>
            </w:r>
          </w:p>
        </w:tc>
        <w:tc>
          <w:tcPr>
            <w:tcW w:w="648" w:type="pct"/>
          </w:tcPr>
          <w:p w14:paraId="090FA79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Detailed verification and documentation requirements in §1302.12.</w:t>
            </w:r>
          </w:p>
        </w:tc>
        <w:tc>
          <w:tcPr>
            <w:tcW w:w="552" w:type="pct"/>
          </w:tcPr>
          <w:p w14:paraId="389E34B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Eligibility is streamlined in proposed §1301.02; statutory eligibility rules remain. Family self-attestation would no longer satisfy eligibility verification.</w:t>
            </w:r>
          </w:p>
        </w:tc>
        <w:tc>
          <w:tcPr>
            <w:tcW w:w="531" w:type="pct"/>
          </w:tcPr>
          <w:p w14:paraId="2858FB9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Head Start Act §645(a) continues to govern eligibility categories and income rules.</w:t>
            </w:r>
          </w:p>
        </w:tc>
        <w:tc>
          <w:tcPr>
            <w:tcW w:w="938" w:type="pct"/>
          </w:tcPr>
          <w:p w14:paraId="05119FF0" w14:textId="2A61AECB" w:rsidR="00EE3430" w:rsidRPr="004E4528" w:rsidRDefault="001508D6" w:rsidP="006D2EEE">
            <w:pPr>
              <w:spacing w:line="228" w:lineRule="auto"/>
              <w:rPr>
                <w:rFonts w:ascii="Arial Narrow" w:hAnsi="Arial Narrow"/>
                <w:sz w:val="24"/>
                <w:szCs w:val="24"/>
              </w:rPr>
            </w:pPr>
            <w:r w:rsidRPr="004E4528">
              <w:rPr>
                <w:rFonts w:ascii="Arial Narrow" w:hAnsi="Arial Narrow"/>
                <w:sz w:val="24"/>
                <w:szCs w:val="24"/>
              </w:rPr>
              <w:t>F.S. §1002.87 (School Readiness eligibility and enrollment); Rule 6M</w:t>
            </w:r>
            <w:r w:rsidRPr="004E4528">
              <w:rPr>
                <w:rFonts w:ascii="Arial Narrow" w:hAnsi="Arial Narrow"/>
                <w:sz w:val="24"/>
                <w:szCs w:val="24"/>
              </w:rPr>
              <w:noBreakHyphen/>
              <w:t>4.200 and 6M</w:t>
            </w:r>
            <w:r w:rsidRPr="004E4528">
              <w:rPr>
                <w:rFonts w:ascii="Arial Narrow" w:hAnsi="Arial Narrow"/>
                <w:sz w:val="24"/>
                <w:szCs w:val="24"/>
              </w:rPr>
              <w:noBreakHyphen/>
              <w:t>4.208, F.A.C. (School Readiness eligibility provisions and documenting eligibility). These establish age, income, and risk</w:t>
            </w:r>
            <w:r w:rsidRPr="004E4528">
              <w:rPr>
                <w:rFonts w:ascii="Arial Narrow" w:hAnsi="Arial Narrow"/>
                <w:sz w:val="24"/>
                <w:szCs w:val="24"/>
              </w:rPr>
              <w:noBreakHyphen/>
              <w:t>based eligibility and documentation requirements.</w:t>
            </w:r>
          </w:p>
        </w:tc>
        <w:tc>
          <w:tcPr>
            <w:tcW w:w="679" w:type="pct"/>
            <w:shd w:val="clear" w:color="auto" w:fill="FCE4D6"/>
          </w:tcPr>
          <w:p w14:paraId="78B7AE28" w14:textId="07F2B4E0"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39A1357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ERSEA procedures and eligibility documentation would need review, particularly any process using self-attestation or zero-income declarations.</w:t>
            </w:r>
          </w:p>
        </w:tc>
        <w:tc>
          <w:tcPr>
            <w:tcW w:w="310" w:type="pct"/>
            <w:shd w:val="clear" w:color="auto" w:fill="F4CCCC"/>
          </w:tcPr>
          <w:p w14:paraId="788DA0BF"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62D4DEEF" w14:textId="77777777" w:rsidTr="005056A3">
        <w:trPr>
          <w:cantSplit/>
        </w:trPr>
        <w:tc>
          <w:tcPr>
            <w:tcW w:w="456" w:type="pct"/>
          </w:tcPr>
          <w:p w14:paraId="3DBBAF31"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ERSEA - recruitment</w:t>
            </w:r>
          </w:p>
        </w:tc>
        <w:tc>
          <w:tcPr>
            <w:tcW w:w="648" w:type="pct"/>
          </w:tcPr>
          <w:p w14:paraId="643CBA2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§1302.13 prescribes recruitment processes, outreach approaches and efforts for specific populations.</w:t>
            </w:r>
          </w:p>
        </w:tc>
        <w:tc>
          <w:tcPr>
            <w:tcW w:w="552" w:type="pct"/>
          </w:tcPr>
          <w:p w14:paraId="08BE2B5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§1302.13 is removed; local programs receive more discretion in how they recruit.</w:t>
            </w:r>
          </w:p>
        </w:tc>
        <w:tc>
          <w:tcPr>
            <w:tcW w:w="531" w:type="pct"/>
          </w:tcPr>
          <w:p w14:paraId="02921CF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still requires recruitment, selection and enrollment procedures and ongoing outreach obligations.</w:t>
            </w:r>
          </w:p>
        </w:tc>
        <w:tc>
          <w:tcPr>
            <w:tcW w:w="938" w:type="pct"/>
          </w:tcPr>
          <w:p w14:paraId="422AC1C4" w14:textId="335AF8B0" w:rsidR="00EE3430" w:rsidRPr="004E4528" w:rsidRDefault="001508D6" w:rsidP="006D2EEE">
            <w:pPr>
              <w:spacing w:line="228" w:lineRule="auto"/>
              <w:rPr>
                <w:rFonts w:ascii="Arial Narrow" w:hAnsi="Arial Narrow"/>
                <w:sz w:val="24"/>
                <w:szCs w:val="24"/>
              </w:rPr>
            </w:pPr>
            <w:r w:rsidRPr="004E4528">
              <w:rPr>
                <w:rFonts w:ascii="Arial Narrow" w:hAnsi="Arial Narrow"/>
                <w:sz w:val="24"/>
                <w:szCs w:val="24"/>
              </w:rPr>
              <w:t>F.S. §1002.92 (Child Care Resource and Referral); Rule 6M</w:t>
            </w:r>
            <w:r w:rsidRPr="004E4528">
              <w:rPr>
                <w:rFonts w:ascii="Arial Narrow" w:hAnsi="Arial Narrow"/>
                <w:sz w:val="24"/>
                <w:szCs w:val="24"/>
              </w:rPr>
              <w:noBreakHyphen/>
              <w:t>9.300, F.A.C. (CCR&amp;R and consumer education). Outreach and informing families of available services are assigned primarily to Early Learning Coalitions rather than individual SR providers.</w:t>
            </w:r>
          </w:p>
        </w:tc>
        <w:tc>
          <w:tcPr>
            <w:tcW w:w="679" w:type="pct"/>
            <w:shd w:val="clear" w:color="auto" w:fill="E2F0D9"/>
          </w:tcPr>
          <w:p w14:paraId="3A6D566B" w14:textId="16A48FBB"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0F990CE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could tailor outreach more locally and reduce procedural detail, but recruitment remains required.</w:t>
            </w:r>
          </w:p>
        </w:tc>
        <w:tc>
          <w:tcPr>
            <w:tcW w:w="310" w:type="pct"/>
            <w:shd w:val="clear" w:color="auto" w:fill="FFF2CC"/>
          </w:tcPr>
          <w:p w14:paraId="7D91F0EE"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3630E3D1" w14:textId="77777777" w:rsidTr="005056A3">
        <w:trPr>
          <w:cantSplit/>
          <w:trHeight w:val="576"/>
        </w:trPr>
        <w:tc>
          <w:tcPr>
            <w:tcW w:w="456" w:type="pct"/>
          </w:tcPr>
          <w:p w14:paraId="1B795610"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ERSEA - selection criteria</w:t>
            </w:r>
          </w:p>
        </w:tc>
        <w:tc>
          <w:tcPr>
            <w:tcW w:w="648" w:type="pct"/>
          </w:tcPr>
          <w:p w14:paraId="18E7521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§1302.14 includes annual selection criteria and detailed selection procedures.</w:t>
            </w:r>
          </w:p>
        </w:tc>
        <w:tc>
          <w:tcPr>
            <w:tcW w:w="552" w:type="pct"/>
          </w:tcPr>
          <w:p w14:paraId="7D462C7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Many prescriptive selection requirements are removed; annual establishment in the current HSPPS form would no longer be required.</w:t>
            </w:r>
          </w:p>
        </w:tc>
        <w:tc>
          <w:tcPr>
            <w:tcW w:w="531" w:type="pct"/>
          </w:tcPr>
          <w:p w14:paraId="08252D8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Governing Body retains statutory responsibility for recruitment, selection and enrollment procedures/criteria.</w:t>
            </w:r>
          </w:p>
        </w:tc>
        <w:tc>
          <w:tcPr>
            <w:tcW w:w="938" w:type="pct"/>
          </w:tcPr>
          <w:p w14:paraId="4B3ED353" w14:textId="12C206D9" w:rsidR="00EE3430" w:rsidRPr="004E4528" w:rsidRDefault="00C205D5" w:rsidP="006D2EEE">
            <w:pPr>
              <w:spacing w:line="228" w:lineRule="auto"/>
              <w:rPr>
                <w:rFonts w:ascii="Arial Narrow" w:hAnsi="Arial Narrow"/>
                <w:sz w:val="24"/>
                <w:szCs w:val="24"/>
              </w:rPr>
            </w:pPr>
            <w:r w:rsidRPr="004E4528">
              <w:rPr>
                <w:rFonts w:ascii="Arial Narrow" w:hAnsi="Arial Narrow"/>
                <w:sz w:val="24"/>
                <w:szCs w:val="24"/>
              </w:rPr>
              <w:t>F.S. §1002.87 (eligibility priorities and enrollment); Rule 6M</w:t>
            </w:r>
            <w:r w:rsidRPr="004E4528">
              <w:rPr>
                <w:rFonts w:ascii="Arial Narrow" w:hAnsi="Arial Narrow"/>
                <w:sz w:val="24"/>
                <w:szCs w:val="24"/>
              </w:rPr>
              <w:noBreakHyphen/>
              <w:t>4.300, F.A.C. (School Readiness application and waiting list procedures). Florida uses statutory priority categories and waiting</w:t>
            </w:r>
            <w:r w:rsidRPr="004E4528">
              <w:rPr>
                <w:rFonts w:ascii="Arial Narrow" w:hAnsi="Arial Narrow"/>
                <w:sz w:val="24"/>
                <w:szCs w:val="24"/>
              </w:rPr>
              <w:noBreakHyphen/>
              <w:t>list management rather than locally developed Head Start selection criteria.</w:t>
            </w:r>
          </w:p>
        </w:tc>
        <w:tc>
          <w:tcPr>
            <w:tcW w:w="679" w:type="pct"/>
            <w:shd w:val="clear" w:color="auto" w:fill="E2F0D9"/>
          </w:tcPr>
          <w:p w14:paraId="1550220F" w14:textId="2A34EB9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3E374BA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Keep selection criteria and Governing Body oversight, but Program may have more flexibility in review frequency and methodology.</w:t>
            </w:r>
          </w:p>
        </w:tc>
        <w:tc>
          <w:tcPr>
            <w:tcW w:w="310" w:type="pct"/>
            <w:shd w:val="clear" w:color="auto" w:fill="F4CCCC"/>
          </w:tcPr>
          <w:p w14:paraId="6A5E13F7"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5CABA5AE" w14:textId="77777777" w:rsidTr="005056A3">
        <w:trPr>
          <w:cantSplit/>
        </w:trPr>
        <w:tc>
          <w:tcPr>
            <w:tcW w:w="456" w:type="pct"/>
          </w:tcPr>
          <w:p w14:paraId="0CA090C9"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10% IDEA enrollment</w:t>
            </w:r>
          </w:p>
        </w:tc>
        <w:tc>
          <w:tcPr>
            <w:tcW w:w="648" w:type="pct"/>
          </w:tcPr>
          <w:p w14:paraId="06DF29E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includes the disability enrollment requirement.</w:t>
            </w:r>
          </w:p>
        </w:tc>
        <w:tc>
          <w:tcPr>
            <w:tcW w:w="552" w:type="pct"/>
          </w:tcPr>
          <w:p w14:paraId="3A57C702"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Corresponding regulation is proposed for removal.</w:t>
            </w:r>
          </w:p>
        </w:tc>
        <w:tc>
          <w:tcPr>
            <w:tcW w:w="531" w:type="pct"/>
          </w:tcPr>
          <w:p w14:paraId="547A58C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Head Start Act §640(d)(1) still requires at least 10% of actual enrollment slots to be filled by children eligible for IDEA services.</w:t>
            </w:r>
          </w:p>
        </w:tc>
        <w:tc>
          <w:tcPr>
            <w:tcW w:w="938" w:type="pct"/>
          </w:tcPr>
          <w:p w14:paraId="641324A7" w14:textId="011B545B" w:rsidR="00EE3430" w:rsidRPr="004E4528" w:rsidRDefault="00C205D5" w:rsidP="006D2EEE">
            <w:pPr>
              <w:spacing w:line="228" w:lineRule="auto"/>
              <w:rPr>
                <w:rFonts w:ascii="Arial Narrow" w:hAnsi="Arial Narrow"/>
                <w:sz w:val="24"/>
                <w:szCs w:val="24"/>
              </w:rPr>
            </w:pPr>
            <w:r w:rsidRPr="004E4528">
              <w:rPr>
                <w:rFonts w:ascii="Arial Narrow" w:hAnsi="Arial Narrow"/>
                <w:sz w:val="24"/>
                <w:szCs w:val="24"/>
              </w:rPr>
              <w:t>No Florida statute mirrors the federal 10% IDEA enrollment requirement. Children with disabilities are prioritized within SR eligibility (F.S. §1002.87 at</w:t>
            </w:r>
            <w:r w:rsidRPr="004E4528">
              <w:rPr>
                <w:rFonts w:ascii="Arial Narrow" w:hAnsi="Arial Narrow"/>
                <w:sz w:val="24"/>
                <w:szCs w:val="24"/>
              </w:rPr>
              <w:noBreakHyphen/>
              <w:t>risk and special needs categories), but the specific “at least 10% of slots” requirement is unique to the Head Start Act.</w:t>
            </w:r>
          </w:p>
        </w:tc>
        <w:tc>
          <w:tcPr>
            <w:tcW w:w="679" w:type="pct"/>
            <w:shd w:val="clear" w:color="auto" w:fill="E2F0D9"/>
          </w:tcPr>
          <w:p w14:paraId="74AC2427" w14:textId="15D9EAD8"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w:t>
            </w:r>
          </w:p>
        </w:tc>
        <w:tc>
          <w:tcPr>
            <w:tcW w:w="886" w:type="pct"/>
          </w:tcPr>
          <w:p w14:paraId="0AF3DAE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Do not remove this from ERSEA/disabilities monitoring. It remains a statutory requirement.</w:t>
            </w:r>
          </w:p>
        </w:tc>
        <w:tc>
          <w:tcPr>
            <w:tcW w:w="310" w:type="pct"/>
            <w:shd w:val="clear" w:color="auto" w:fill="F4CCCC"/>
          </w:tcPr>
          <w:p w14:paraId="48220877"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2DB76B37" w14:textId="77777777" w:rsidTr="005056A3">
        <w:trPr>
          <w:cantSplit/>
        </w:trPr>
        <w:tc>
          <w:tcPr>
            <w:tcW w:w="456" w:type="pct"/>
          </w:tcPr>
          <w:p w14:paraId="3FFFE5FE"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Active waiting list</w:t>
            </w:r>
          </w:p>
        </w:tc>
        <w:tc>
          <w:tcPr>
            <w:tcW w:w="648" w:type="pct"/>
          </w:tcPr>
          <w:p w14:paraId="57271CA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requires active waiting lists.</w:t>
            </w:r>
          </w:p>
        </w:tc>
        <w:tc>
          <w:tcPr>
            <w:tcW w:w="552" w:type="pct"/>
          </w:tcPr>
          <w:p w14:paraId="1284567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Specific HSPPS provision is proposed for removal.</w:t>
            </w:r>
          </w:p>
        </w:tc>
        <w:tc>
          <w:tcPr>
            <w:tcW w:w="531" w:type="pct"/>
          </w:tcPr>
          <w:p w14:paraId="79F6EF5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Head Start Act §642(g) continues to require an active waiting list, ongoing outreach and identification of underserved populations.</w:t>
            </w:r>
          </w:p>
        </w:tc>
        <w:tc>
          <w:tcPr>
            <w:tcW w:w="938" w:type="pct"/>
          </w:tcPr>
          <w:p w14:paraId="6E49908D" w14:textId="1D753639" w:rsidR="00EE3430" w:rsidRPr="004E4528" w:rsidRDefault="00C205D5" w:rsidP="006D2EEE">
            <w:pPr>
              <w:spacing w:line="228" w:lineRule="auto"/>
              <w:rPr>
                <w:rFonts w:ascii="Arial Narrow" w:hAnsi="Arial Narrow"/>
                <w:sz w:val="24"/>
                <w:szCs w:val="24"/>
              </w:rPr>
            </w:pPr>
            <w:r w:rsidRPr="004E4528">
              <w:rPr>
                <w:rFonts w:ascii="Arial Narrow" w:hAnsi="Arial Narrow"/>
                <w:sz w:val="24"/>
                <w:szCs w:val="24"/>
              </w:rPr>
              <w:t>Rule 6M</w:t>
            </w:r>
            <w:r w:rsidRPr="004E4528">
              <w:rPr>
                <w:rFonts w:ascii="Arial Narrow" w:hAnsi="Arial Narrow"/>
                <w:sz w:val="24"/>
                <w:szCs w:val="24"/>
              </w:rPr>
              <w:noBreakHyphen/>
              <w:t>4.300, F.A.C. (School Readiness application and waiting list procedures) requires coalitions to maintain and manage waiting lists for SR services.</w:t>
            </w:r>
          </w:p>
        </w:tc>
        <w:tc>
          <w:tcPr>
            <w:tcW w:w="679" w:type="pct"/>
            <w:shd w:val="clear" w:color="auto" w:fill="E2F0D9"/>
          </w:tcPr>
          <w:p w14:paraId="1148FF6E" w14:textId="5A118C8B"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w:t>
            </w:r>
          </w:p>
        </w:tc>
        <w:tc>
          <w:tcPr>
            <w:tcW w:w="886" w:type="pct"/>
          </w:tcPr>
          <w:p w14:paraId="387BC73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Continue active waitlist practices and monitoring.</w:t>
            </w:r>
          </w:p>
        </w:tc>
        <w:tc>
          <w:tcPr>
            <w:tcW w:w="310" w:type="pct"/>
            <w:shd w:val="clear" w:color="auto" w:fill="F4CCCC"/>
          </w:tcPr>
          <w:p w14:paraId="7F95B7C1"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7672F696" w14:textId="77777777" w:rsidTr="005056A3">
        <w:trPr>
          <w:cantSplit/>
        </w:trPr>
        <w:tc>
          <w:tcPr>
            <w:tcW w:w="456" w:type="pct"/>
          </w:tcPr>
          <w:p w14:paraId="7098D972"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Enrollment vacancies</w:t>
            </w:r>
          </w:p>
        </w:tc>
        <w:tc>
          <w:tcPr>
            <w:tcW w:w="648" w:type="pct"/>
          </w:tcPr>
          <w:p w14:paraId="32DADAA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requires vacancies to be filled as soon as possible and within 30 days.</w:t>
            </w:r>
          </w:p>
        </w:tc>
        <w:tc>
          <w:tcPr>
            <w:tcW w:w="552" w:type="pct"/>
          </w:tcPr>
          <w:p w14:paraId="11033CC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§1301.03 retains funded enrollment and 30-day vacancy expectations.</w:t>
            </w:r>
          </w:p>
        </w:tc>
        <w:tc>
          <w:tcPr>
            <w:tcW w:w="531" w:type="pct"/>
          </w:tcPr>
          <w:p w14:paraId="443F0DF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Statutory enrollment obligations also continue.</w:t>
            </w:r>
          </w:p>
        </w:tc>
        <w:tc>
          <w:tcPr>
            <w:tcW w:w="938" w:type="pct"/>
          </w:tcPr>
          <w:p w14:paraId="5B33166D" w14:textId="1D5BA4DB" w:rsidR="00EE3430" w:rsidRPr="004E4528" w:rsidRDefault="00262598" w:rsidP="006D2EEE">
            <w:pPr>
              <w:spacing w:line="228" w:lineRule="auto"/>
              <w:rPr>
                <w:rFonts w:ascii="Arial Narrow" w:hAnsi="Arial Narrow"/>
                <w:sz w:val="24"/>
                <w:szCs w:val="24"/>
              </w:rPr>
            </w:pPr>
            <w:r w:rsidRPr="004E4528">
              <w:rPr>
                <w:rFonts w:ascii="Arial Narrow" w:hAnsi="Arial Narrow"/>
                <w:sz w:val="24"/>
                <w:szCs w:val="24"/>
              </w:rPr>
              <w:t>Rule 6M</w:t>
            </w:r>
            <w:r w:rsidRPr="004E4528">
              <w:rPr>
                <w:rFonts w:ascii="Arial Narrow" w:hAnsi="Arial Narrow"/>
                <w:sz w:val="24"/>
                <w:szCs w:val="24"/>
              </w:rPr>
              <w:noBreakHyphen/>
              <w:t>4.500, F.A.C. (Child Attendance and Provider Reimbursements) addresses SR reimbursement tied to enrollment and attendance; coalitions manage authorizations and slots, but there is no identical 30</w:t>
            </w:r>
            <w:r w:rsidRPr="004E4528">
              <w:rPr>
                <w:rFonts w:ascii="Arial Narrow" w:hAnsi="Arial Narrow"/>
                <w:sz w:val="24"/>
                <w:szCs w:val="24"/>
              </w:rPr>
              <w:noBreakHyphen/>
              <w:t>day vacancy rule in Florida law.</w:t>
            </w:r>
          </w:p>
        </w:tc>
        <w:tc>
          <w:tcPr>
            <w:tcW w:w="679" w:type="pct"/>
            <w:shd w:val="clear" w:color="auto" w:fill="DDEBF7"/>
          </w:tcPr>
          <w:p w14:paraId="42075947" w14:textId="1052FFFC"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MOSTLY CONTINUES</w:t>
            </w:r>
          </w:p>
        </w:tc>
        <w:tc>
          <w:tcPr>
            <w:tcW w:w="886" w:type="pct"/>
          </w:tcPr>
          <w:p w14:paraId="2EF8DA80"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No major operational change expected.</w:t>
            </w:r>
          </w:p>
        </w:tc>
        <w:tc>
          <w:tcPr>
            <w:tcW w:w="310" w:type="pct"/>
            <w:shd w:val="clear" w:color="auto" w:fill="FFF2CC"/>
          </w:tcPr>
          <w:p w14:paraId="1BE334F2"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3DF5B715" w14:textId="77777777" w:rsidTr="005056A3">
        <w:trPr>
          <w:cantSplit/>
        </w:trPr>
        <w:tc>
          <w:tcPr>
            <w:tcW w:w="456" w:type="pct"/>
          </w:tcPr>
          <w:p w14:paraId="336ACE0E"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Attendance</w:t>
            </w:r>
          </w:p>
        </w:tc>
        <w:tc>
          <w:tcPr>
            <w:tcW w:w="648" w:type="pct"/>
          </w:tcPr>
          <w:p w14:paraId="236FC8C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§1302.16 contains detailed attendance tracking and follow-up expectations.</w:t>
            </w:r>
          </w:p>
        </w:tc>
        <w:tc>
          <w:tcPr>
            <w:tcW w:w="552" w:type="pct"/>
          </w:tcPr>
          <w:p w14:paraId="12763E0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Attendance tracking remains, but prescriptive federal follow-up procedures are reduced; programs must follow applicable federal/state requirements when absences raise safety concerns.</w:t>
            </w:r>
          </w:p>
        </w:tc>
        <w:tc>
          <w:tcPr>
            <w:tcW w:w="531" w:type="pct"/>
          </w:tcPr>
          <w:p w14:paraId="5D36742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Statutory enrollment/accountability and applicable child-safety laws continue.</w:t>
            </w:r>
          </w:p>
        </w:tc>
        <w:tc>
          <w:tcPr>
            <w:tcW w:w="938" w:type="pct"/>
          </w:tcPr>
          <w:p w14:paraId="3A1C95E3" w14:textId="70BB7D14" w:rsidR="00EE3430" w:rsidRPr="004E4528" w:rsidRDefault="00051B5A" w:rsidP="006D2EEE">
            <w:pPr>
              <w:spacing w:line="228" w:lineRule="auto"/>
              <w:rPr>
                <w:rFonts w:ascii="Arial Narrow" w:hAnsi="Arial Narrow"/>
                <w:sz w:val="24"/>
                <w:szCs w:val="24"/>
              </w:rPr>
            </w:pPr>
            <w:r w:rsidRPr="004E4528">
              <w:rPr>
                <w:rFonts w:ascii="Arial Narrow" w:hAnsi="Arial Narrow"/>
                <w:sz w:val="24"/>
                <w:szCs w:val="24"/>
              </w:rPr>
              <w:t>Rule 6M</w:t>
            </w:r>
            <w:r w:rsidRPr="004E4528">
              <w:rPr>
                <w:rFonts w:ascii="Arial Narrow" w:hAnsi="Arial Narrow"/>
                <w:sz w:val="24"/>
                <w:szCs w:val="24"/>
              </w:rPr>
              <w:noBreakHyphen/>
              <w:t>4.500, F.A.C. (Child Attendance and Provider Reimbursements); DCF Licensing Handbooks (Child Care Facility Handbook, Family Child Care Home Handbook) for attendance documentation and supervision expectations.</w:t>
            </w:r>
          </w:p>
        </w:tc>
        <w:tc>
          <w:tcPr>
            <w:tcW w:w="679" w:type="pct"/>
            <w:shd w:val="clear" w:color="auto" w:fill="E2F0D9"/>
          </w:tcPr>
          <w:p w14:paraId="0D13AFD4" w14:textId="272463FD"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474D047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could potentially simplify attendance intervention procedures while retaining safety-based follow-up and funded-enrollment accountability.</w:t>
            </w:r>
          </w:p>
        </w:tc>
        <w:tc>
          <w:tcPr>
            <w:tcW w:w="310" w:type="pct"/>
            <w:shd w:val="clear" w:color="auto" w:fill="F4CCCC"/>
          </w:tcPr>
          <w:p w14:paraId="70B07E99"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767103C0" w14:textId="77777777" w:rsidTr="005056A3">
        <w:trPr>
          <w:cantSplit/>
        </w:trPr>
        <w:tc>
          <w:tcPr>
            <w:tcW w:w="456" w:type="pct"/>
          </w:tcPr>
          <w:p w14:paraId="167D7214"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Continuity of enrollment</w:t>
            </w:r>
          </w:p>
        </w:tc>
        <w:tc>
          <w:tcPr>
            <w:tcW w:w="648" w:type="pct"/>
          </w:tcPr>
          <w:p w14:paraId="658E2DC0"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requires efforts to support continued enrollment, including certain moves/service areas.</w:t>
            </w:r>
          </w:p>
        </w:tc>
        <w:tc>
          <w:tcPr>
            <w:tcW w:w="552" w:type="pct"/>
          </w:tcPr>
          <w:p w14:paraId="1A7DF95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Several specific continuity requirements are proposed for removal.</w:t>
            </w:r>
          </w:p>
        </w:tc>
        <w:tc>
          <w:tcPr>
            <w:tcW w:w="531" w:type="pct"/>
          </w:tcPr>
          <w:p w14:paraId="6DD3493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Only applicable statutory requirements remain.</w:t>
            </w:r>
          </w:p>
        </w:tc>
        <w:tc>
          <w:tcPr>
            <w:tcW w:w="938" w:type="pct"/>
          </w:tcPr>
          <w:p w14:paraId="1BD0FBC6" w14:textId="2F059647" w:rsidR="00EE3430" w:rsidRPr="004E4528" w:rsidRDefault="001C737E" w:rsidP="006D2EEE">
            <w:pPr>
              <w:spacing w:line="228" w:lineRule="auto"/>
              <w:rPr>
                <w:rFonts w:ascii="Arial Narrow" w:hAnsi="Arial Narrow"/>
                <w:sz w:val="24"/>
                <w:szCs w:val="24"/>
              </w:rPr>
            </w:pPr>
            <w:r w:rsidRPr="004E4528">
              <w:rPr>
                <w:rFonts w:ascii="Arial Narrow" w:hAnsi="Arial Narrow"/>
                <w:sz w:val="24"/>
                <w:szCs w:val="24"/>
              </w:rPr>
              <w:t>F.S. §1002.87 (eligibility and enrollment); Rule 6M</w:t>
            </w:r>
            <w:r w:rsidRPr="004E4528">
              <w:rPr>
                <w:rFonts w:ascii="Cambria Math" w:hAnsi="Cambria Math" w:cs="Cambria Math"/>
                <w:sz w:val="24"/>
                <w:szCs w:val="24"/>
              </w:rPr>
              <w:t>‑</w:t>
            </w:r>
            <w:r w:rsidRPr="004E4528">
              <w:rPr>
                <w:rFonts w:ascii="Arial Narrow" w:hAnsi="Arial Narrow"/>
                <w:sz w:val="24"/>
                <w:szCs w:val="24"/>
              </w:rPr>
              <w:t>4.500, F.A.C. (Child Attendance and Provider Reimbursements); Rule 6M</w:t>
            </w:r>
            <w:r w:rsidRPr="004E4528">
              <w:rPr>
                <w:rFonts w:ascii="Cambria Math" w:hAnsi="Cambria Math" w:cs="Cambria Math"/>
                <w:sz w:val="24"/>
                <w:szCs w:val="24"/>
              </w:rPr>
              <w:t>‑</w:t>
            </w:r>
            <w:r w:rsidRPr="004E4528">
              <w:rPr>
                <w:rFonts w:ascii="Arial Narrow" w:hAnsi="Arial Narrow"/>
                <w:sz w:val="24"/>
                <w:szCs w:val="24"/>
              </w:rPr>
              <w:t>4.300, F.A.C. (application and waiting list procedures). These govern continuity through authorization, redetermination, and reimbursement rather than Head Start</w:t>
            </w:r>
            <w:r w:rsidRPr="004E4528">
              <w:rPr>
                <w:rFonts w:ascii="Cambria Math" w:hAnsi="Cambria Math" w:cs="Cambria Math"/>
                <w:sz w:val="24"/>
                <w:szCs w:val="24"/>
              </w:rPr>
              <w:t>‑</w:t>
            </w:r>
            <w:r w:rsidRPr="004E4528">
              <w:rPr>
                <w:rFonts w:ascii="Arial Narrow" w:hAnsi="Arial Narrow"/>
                <w:sz w:val="24"/>
                <w:szCs w:val="24"/>
              </w:rPr>
              <w:t>style continuity rules.</w:t>
            </w:r>
          </w:p>
        </w:tc>
        <w:tc>
          <w:tcPr>
            <w:tcW w:w="679" w:type="pct"/>
            <w:shd w:val="clear" w:color="auto" w:fill="FFF2CC"/>
          </w:tcPr>
          <w:p w14:paraId="5DAD5956" w14:textId="0038BDAB"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5E4930A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Some current ERSEA continuity procedures could become local best practice rather than a federal mandate.</w:t>
            </w:r>
          </w:p>
        </w:tc>
        <w:tc>
          <w:tcPr>
            <w:tcW w:w="310" w:type="pct"/>
          </w:tcPr>
          <w:p w14:paraId="38DC4C89"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LOW</w:t>
            </w:r>
          </w:p>
        </w:tc>
      </w:tr>
      <w:tr w:rsidR="00EE3430" w:rsidRPr="004E4528" w14:paraId="1E137EF5" w14:textId="77777777" w:rsidTr="005056A3">
        <w:trPr>
          <w:cantSplit/>
        </w:trPr>
        <w:tc>
          <w:tcPr>
            <w:tcW w:w="456" w:type="pct"/>
          </w:tcPr>
          <w:p w14:paraId="68A9D0BD"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Head Start Preschool service duration</w:t>
            </w:r>
          </w:p>
        </w:tc>
        <w:tc>
          <w:tcPr>
            <w:tcW w:w="648" w:type="pct"/>
          </w:tcPr>
          <w:p w14:paraId="55B9C364"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§1302.21 includes detailed annual/hour requirements.</w:t>
            </w:r>
          </w:p>
        </w:tc>
        <w:tc>
          <w:tcPr>
            <w:tcW w:w="552" w:type="pct"/>
          </w:tcPr>
          <w:p w14:paraId="5289C04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duration requirements are removed.</w:t>
            </w:r>
          </w:p>
        </w:tc>
        <w:tc>
          <w:tcPr>
            <w:tcW w:w="531" w:type="pct"/>
          </w:tcPr>
          <w:p w14:paraId="09A21B52"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Head Start Act §640(k)(1) continues to establish a floor, including at least 3 hours per day and statutory service-day limitations.</w:t>
            </w:r>
          </w:p>
        </w:tc>
        <w:tc>
          <w:tcPr>
            <w:tcW w:w="938" w:type="pct"/>
          </w:tcPr>
          <w:p w14:paraId="0F1A408F" w14:textId="5C452F67" w:rsidR="00EE3430" w:rsidRPr="004E4528" w:rsidRDefault="00051B5A" w:rsidP="006D2EEE">
            <w:pPr>
              <w:spacing w:line="228" w:lineRule="auto"/>
              <w:rPr>
                <w:rFonts w:ascii="Arial Narrow" w:hAnsi="Arial Narrow"/>
                <w:sz w:val="24"/>
                <w:szCs w:val="24"/>
              </w:rPr>
            </w:pPr>
            <w:r w:rsidRPr="004E4528">
              <w:rPr>
                <w:rFonts w:ascii="Arial Narrow" w:hAnsi="Arial Narrow"/>
                <w:sz w:val="24"/>
                <w:szCs w:val="24"/>
              </w:rPr>
              <w:t>Florida VPK duration is set in F.S. §1002.63 and §1002.68 (540 instructional hours for school</w:t>
            </w:r>
            <w:r w:rsidRPr="004E4528">
              <w:rPr>
                <w:rFonts w:ascii="Arial Narrow" w:hAnsi="Arial Narrow"/>
                <w:sz w:val="24"/>
                <w:szCs w:val="24"/>
              </w:rPr>
              <w:noBreakHyphen/>
              <w:t>year VPK), but there is no SR statute mirroring Head Start’s minimum daily hours.</w:t>
            </w:r>
          </w:p>
        </w:tc>
        <w:tc>
          <w:tcPr>
            <w:tcW w:w="679" w:type="pct"/>
            <w:shd w:val="clear" w:color="auto" w:fill="E2F0D9"/>
          </w:tcPr>
          <w:p w14:paraId="2AFEBCC2" w14:textId="6295278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099C192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may have more flexibility in HS schedules, but duration cannot simply be reduced without analyzing the Act, funding and Policy Council/program design implications.</w:t>
            </w:r>
          </w:p>
        </w:tc>
        <w:tc>
          <w:tcPr>
            <w:tcW w:w="310" w:type="pct"/>
            <w:shd w:val="clear" w:color="auto" w:fill="F4CCCC"/>
          </w:tcPr>
          <w:p w14:paraId="447D82E6"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0338E76A" w14:textId="77777777" w:rsidTr="005056A3">
        <w:trPr>
          <w:cantSplit/>
        </w:trPr>
        <w:tc>
          <w:tcPr>
            <w:tcW w:w="456" w:type="pct"/>
          </w:tcPr>
          <w:p w14:paraId="6CFA48D4"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Center-based ratios &amp; group size</w:t>
            </w:r>
          </w:p>
        </w:tc>
        <w:tc>
          <w:tcPr>
            <w:tcW w:w="648" w:type="pct"/>
          </w:tcPr>
          <w:p w14:paraId="58C8E65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HSPPS establishes federal ratios and maximum group sizes by age.</w:t>
            </w:r>
          </w:p>
        </w:tc>
        <w:tc>
          <w:tcPr>
            <w:tcW w:w="552" w:type="pct"/>
          </w:tcPr>
          <w:p w14:paraId="2E38DAF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Federal Head Start-specific ratios/group sizes are removed and primary authority shifts to state licensing/CCDF requirements.</w:t>
            </w:r>
          </w:p>
        </w:tc>
        <w:tc>
          <w:tcPr>
            <w:tcW w:w="531" w:type="pct"/>
          </w:tcPr>
          <w:p w14:paraId="5635F7C5" w14:textId="53CC9B76" w:rsidR="00EE3430" w:rsidRPr="004E4528" w:rsidRDefault="00EE3430">
            <w:pPr>
              <w:spacing w:line="228" w:lineRule="auto"/>
              <w:rPr>
                <w:rFonts w:ascii="Arial Narrow" w:hAnsi="Arial Narrow"/>
                <w:sz w:val="24"/>
                <w:szCs w:val="24"/>
              </w:rPr>
            </w:pPr>
            <w:r w:rsidRPr="004E4528">
              <w:rPr>
                <w:rFonts w:ascii="Arial Narrow" w:hAnsi="Arial Narrow"/>
                <w:sz w:val="24"/>
                <w:szCs w:val="24"/>
              </w:rPr>
              <w:t>Applicable Florida Child Care Licensing and other statutory staffing requirements continue.</w:t>
            </w:r>
          </w:p>
        </w:tc>
        <w:tc>
          <w:tcPr>
            <w:tcW w:w="938" w:type="pct"/>
          </w:tcPr>
          <w:p w14:paraId="5D63B644" w14:textId="34209AAA" w:rsidR="00EE3430" w:rsidRPr="004E4528" w:rsidRDefault="005E02EB" w:rsidP="006D2EEE">
            <w:pPr>
              <w:spacing w:line="228" w:lineRule="auto"/>
              <w:rPr>
                <w:rFonts w:ascii="Arial Narrow" w:hAnsi="Arial Narrow"/>
                <w:sz w:val="24"/>
                <w:szCs w:val="24"/>
              </w:rPr>
            </w:pPr>
            <w:r w:rsidRPr="004E4528">
              <w:rPr>
                <w:rFonts w:ascii="Arial Narrow" w:hAnsi="Arial Narrow"/>
                <w:sz w:val="24"/>
                <w:szCs w:val="24"/>
              </w:rPr>
              <w:t>F.S. §402.305(4) (licensing standards for child care facilities, including staff</w:t>
            </w:r>
            <w:r w:rsidRPr="004E4528">
              <w:rPr>
                <w:rFonts w:ascii="Arial Narrow" w:hAnsi="Arial Narrow"/>
                <w:sz w:val="24"/>
                <w:szCs w:val="24"/>
              </w:rPr>
              <w:noBreakHyphen/>
              <w:t>to</w:t>
            </w:r>
            <w:r w:rsidRPr="004E4528">
              <w:rPr>
                <w:rFonts w:ascii="Arial Narrow" w:hAnsi="Arial Narrow"/>
                <w:sz w:val="24"/>
                <w:szCs w:val="24"/>
              </w:rPr>
              <w:noBreakHyphen/>
              <w:t>child ratios); Rule 65C</w:t>
            </w:r>
            <w:r w:rsidRPr="004E4528">
              <w:rPr>
                <w:rFonts w:ascii="Arial Narrow" w:hAnsi="Arial Narrow"/>
                <w:sz w:val="24"/>
                <w:szCs w:val="24"/>
              </w:rPr>
              <w:noBreakHyphen/>
              <w:t>22.001, F.A.C. (General Requirements, ratios and group size). These become the primary minimum standards when Head Start</w:t>
            </w:r>
            <w:r w:rsidRPr="004E4528">
              <w:rPr>
                <w:rFonts w:ascii="Arial Narrow" w:hAnsi="Arial Narrow"/>
                <w:sz w:val="24"/>
                <w:szCs w:val="24"/>
              </w:rPr>
              <w:noBreakHyphen/>
              <w:t>specific ratios are removed.</w:t>
            </w:r>
          </w:p>
        </w:tc>
        <w:tc>
          <w:tcPr>
            <w:tcW w:w="679" w:type="pct"/>
            <w:shd w:val="clear" w:color="auto" w:fill="FFF2CC"/>
          </w:tcPr>
          <w:p w14:paraId="6F6F34ED" w14:textId="008DDCFE"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184E6BAD" w14:textId="71F555AB"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For licensed Florida centers</w:t>
            </w:r>
            <w:r w:rsidR="00FA6850">
              <w:rPr>
                <w:rFonts w:ascii="Arial Narrow" w:hAnsi="Arial Narrow"/>
                <w:sz w:val="24"/>
                <w:szCs w:val="24"/>
              </w:rPr>
              <w:t>, rat</w:t>
            </w:r>
            <w:r w:rsidRPr="004E4528">
              <w:rPr>
                <w:rFonts w:ascii="Arial Narrow" w:hAnsi="Arial Narrow"/>
                <w:sz w:val="24"/>
                <w:szCs w:val="24"/>
              </w:rPr>
              <w:t>ios/group sizes would become the primary minimum standard. Program may choose to maintain more stringent internal ratios.</w:t>
            </w:r>
          </w:p>
        </w:tc>
        <w:tc>
          <w:tcPr>
            <w:tcW w:w="310" w:type="pct"/>
            <w:shd w:val="clear" w:color="auto" w:fill="F4CCCC"/>
          </w:tcPr>
          <w:p w14:paraId="13857DD4"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7130EAD7" w14:textId="77777777" w:rsidTr="005056A3">
        <w:trPr>
          <w:cantSplit/>
        </w:trPr>
        <w:tc>
          <w:tcPr>
            <w:tcW w:w="456" w:type="pct"/>
          </w:tcPr>
          <w:p w14:paraId="3912863B"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Home-Based frequency, duration &amp; caseload</w:t>
            </w:r>
          </w:p>
        </w:tc>
        <w:tc>
          <w:tcPr>
            <w:tcW w:w="648" w:type="pct"/>
          </w:tcPr>
          <w:p w14:paraId="16B44C2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HSPPS prescribes home visit frequency/duration, socializations and caseload limits.</w:t>
            </w:r>
          </w:p>
        </w:tc>
        <w:tc>
          <w:tcPr>
            <w:tcW w:w="552" w:type="pct"/>
          </w:tcPr>
          <w:p w14:paraId="1DDAEA1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Federal frequency, duration and caseload prescriptions are removed.</w:t>
            </w:r>
          </w:p>
        </w:tc>
        <w:tc>
          <w:tcPr>
            <w:tcW w:w="531" w:type="pct"/>
          </w:tcPr>
          <w:p w14:paraId="7253070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continues to authorize and require appropriate Head Start/EHS home-based services at a higher level.</w:t>
            </w:r>
          </w:p>
        </w:tc>
        <w:tc>
          <w:tcPr>
            <w:tcW w:w="938" w:type="pct"/>
          </w:tcPr>
          <w:p w14:paraId="7B2B84D2" w14:textId="1F7BB841" w:rsidR="00EE3430" w:rsidRPr="004E4528" w:rsidRDefault="005E02EB" w:rsidP="006D2EEE">
            <w:pPr>
              <w:spacing w:line="228" w:lineRule="auto"/>
              <w:rPr>
                <w:rFonts w:ascii="Arial Narrow" w:hAnsi="Arial Narrow"/>
                <w:sz w:val="24"/>
                <w:szCs w:val="24"/>
              </w:rPr>
            </w:pPr>
            <w:r w:rsidRPr="004E4528">
              <w:rPr>
                <w:rFonts w:ascii="Arial Narrow" w:hAnsi="Arial Narrow"/>
                <w:sz w:val="24"/>
                <w:szCs w:val="24"/>
              </w:rPr>
              <w:t>No direct Florida SR/CCDF rule prescribing home</w:t>
            </w:r>
            <w:r w:rsidRPr="004E4528">
              <w:rPr>
                <w:rFonts w:ascii="Arial Narrow" w:hAnsi="Arial Narrow"/>
                <w:sz w:val="24"/>
                <w:szCs w:val="24"/>
              </w:rPr>
              <w:noBreakHyphen/>
              <w:t>visit frequency, duration, or caseloads. Home visiting models in Florida are governed through separate initiatives and contracts rather than SR statute.</w:t>
            </w:r>
          </w:p>
        </w:tc>
        <w:tc>
          <w:tcPr>
            <w:tcW w:w="679" w:type="pct"/>
            <w:shd w:val="clear" w:color="auto" w:fill="FFF2CC"/>
          </w:tcPr>
          <w:p w14:paraId="7640E0B1" w14:textId="0654B835"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31F8E80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Potential major redesign opportunity for Home Base. Program could determine visit length, frequency, socialization structure and caseloads based on family/community need and quality expectations.</w:t>
            </w:r>
          </w:p>
        </w:tc>
        <w:tc>
          <w:tcPr>
            <w:tcW w:w="310" w:type="pct"/>
            <w:shd w:val="clear" w:color="auto" w:fill="F4CCCC"/>
          </w:tcPr>
          <w:p w14:paraId="34E93206"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297DCC26" w14:textId="77777777" w:rsidTr="005056A3">
        <w:trPr>
          <w:cantSplit/>
        </w:trPr>
        <w:tc>
          <w:tcPr>
            <w:tcW w:w="456" w:type="pct"/>
          </w:tcPr>
          <w:p w14:paraId="7CAE3210"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Family Child Care child development specialist</w:t>
            </w:r>
          </w:p>
        </w:tc>
        <w:tc>
          <w:tcPr>
            <w:tcW w:w="648" w:type="pct"/>
          </w:tcPr>
          <w:p w14:paraId="41C388A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requires FCC providers to partner with child development specialists.</w:t>
            </w:r>
          </w:p>
        </w:tc>
        <w:tc>
          <w:tcPr>
            <w:tcW w:w="552" w:type="pct"/>
          </w:tcPr>
          <w:p w14:paraId="055F07E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Federal role requirement is removed.</w:t>
            </w:r>
          </w:p>
        </w:tc>
        <w:tc>
          <w:tcPr>
            <w:tcW w:w="531" w:type="pct"/>
          </w:tcPr>
          <w:p w14:paraId="29BDEA9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No equivalent statutory requirement is identified in the NPRM.</w:t>
            </w:r>
          </w:p>
        </w:tc>
        <w:tc>
          <w:tcPr>
            <w:tcW w:w="938" w:type="pct"/>
          </w:tcPr>
          <w:p w14:paraId="534C0FFF" w14:textId="6D66434F" w:rsidR="00EE3430" w:rsidRPr="004E4528" w:rsidRDefault="009E091F" w:rsidP="006D2EEE">
            <w:pPr>
              <w:spacing w:line="228" w:lineRule="auto"/>
              <w:rPr>
                <w:rFonts w:ascii="Arial Narrow" w:hAnsi="Arial Narrow"/>
                <w:sz w:val="24"/>
                <w:szCs w:val="24"/>
              </w:rPr>
            </w:pPr>
            <w:r w:rsidRPr="004E4528">
              <w:rPr>
                <w:rFonts w:ascii="Arial Narrow" w:hAnsi="Arial Narrow"/>
                <w:sz w:val="24"/>
                <w:szCs w:val="24"/>
              </w:rPr>
              <w:t>F.S. §402.313 and §402.3131 (family day care homes and large family child care homes); Ch. 65C</w:t>
            </w:r>
            <w:r w:rsidRPr="004E4528">
              <w:rPr>
                <w:rFonts w:ascii="Cambria Math" w:hAnsi="Cambria Math" w:cs="Cambria Math"/>
                <w:sz w:val="24"/>
                <w:szCs w:val="24"/>
              </w:rPr>
              <w:t>‑</w:t>
            </w:r>
            <w:r w:rsidRPr="004E4528">
              <w:rPr>
                <w:rFonts w:ascii="Arial Narrow" w:hAnsi="Arial Narrow"/>
                <w:sz w:val="24"/>
                <w:szCs w:val="24"/>
              </w:rPr>
              <w:t>20 and 65C</w:t>
            </w:r>
            <w:r w:rsidRPr="004E4528">
              <w:rPr>
                <w:rFonts w:ascii="Cambria Math" w:hAnsi="Cambria Math" w:cs="Cambria Math"/>
                <w:sz w:val="24"/>
                <w:szCs w:val="24"/>
              </w:rPr>
              <w:t>‑</w:t>
            </w:r>
            <w:r w:rsidRPr="004E4528">
              <w:rPr>
                <w:rFonts w:ascii="Arial Narrow" w:hAnsi="Arial Narrow"/>
                <w:sz w:val="24"/>
                <w:szCs w:val="24"/>
              </w:rPr>
              <w:t>25, F.A.C. (family day care and large family child care homes). No requirement for a specific “child development specialist” role.</w:t>
            </w:r>
          </w:p>
        </w:tc>
        <w:tc>
          <w:tcPr>
            <w:tcW w:w="679" w:type="pct"/>
            <w:shd w:val="clear" w:color="auto" w:fill="FFF2CC"/>
          </w:tcPr>
          <w:p w14:paraId="75DDE1B2" w14:textId="2DD158E5"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5C285C0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could determine whether this role/function is needed operationally.</w:t>
            </w:r>
          </w:p>
        </w:tc>
        <w:tc>
          <w:tcPr>
            <w:tcW w:w="310" w:type="pct"/>
          </w:tcPr>
          <w:p w14:paraId="135E7366"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LOW</w:t>
            </w:r>
          </w:p>
        </w:tc>
      </w:tr>
      <w:tr w:rsidR="00EE3430" w:rsidRPr="004E4528" w14:paraId="0720B7B6" w14:textId="77777777" w:rsidTr="005056A3">
        <w:trPr>
          <w:cantSplit/>
        </w:trPr>
        <w:tc>
          <w:tcPr>
            <w:tcW w:w="456" w:type="pct"/>
          </w:tcPr>
          <w:p w14:paraId="5A0D9B34"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Curriculum</w:t>
            </w:r>
          </w:p>
        </w:tc>
        <w:tc>
          <w:tcPr>
            <w:tcW w:w="648" w:type="pct"/>
          </w:tcPr>
          <w:p w14:paraId="57080C1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HSPPS includes detailed curriculum implementation requirements.</w:t>
            </w:r>
          </w:p>
        </w:tc>
        <w:tc>
          <w:tcPr>
            <w:tcW w:w="552" w:type="pct"/>
          </w:tcPr>
          <w:p w14:paraId="6AC45492"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Much regulatory specificity is removed.</w:t>
            </w:r>
          </w:p>
        </w:tc>
        <w:tc>
          <w:tcPr>
            <w:tcW w:w="531" w:type="pct"/>
          </w:tcPr>
          <w:p w14:paraId="08ED682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continues to require appropriate curriculum and alignment with school readiness/ELOF-related requirements.</w:t>
            </w:r>
          </w:p>
        </w:tc>
        <w:tc>
          <w:tcPr>
            <w:tcW w:w="938" w:type="pct"/>
          </w:tcPr>
          <w:p w14:paraId="54FF7081" w14:textId="53DEC60E" w:rsidR="00EE3430" w:rsidRPr="004E4528" w:rsidRDefault="009E091F" w:rsidP="006D2EEE">
            <w:pPr>
              <w:spacing w:line="228" w:lineRule="auto"/>
              <w:rPr>
                <w:rFonts w:ascii="Arial Narrow" w:hAnsi="Arial Narrow"/>
                <w:sz w:val="24"/>
                <w:szCs w:val="24"/>
              </w:rPr>
            </w:pPr>
            <w:r w:rsidRPr="004E4528">
              <w:rPr>
                <w:rFonts w:ascii="Arial Narrow" w:hAnsi="Arial Narrow"/>
                <w:sz w:val="24"/>
                <w:szCs w:val="24"/>
              </w:rPr>
              <w:t>Rule 6M</w:t>
            </w:r>
            <w:r w:rsidRPr="004E4528">
              <w:rPr>
                <w:rFonts w:ascii="Cambria Math" w:hAnsi="Cambria Math" w:cs="Cambria Math"/>
                <w:sz w:val="24"/>
                <w:szCs w:val="24"/>
              </w:rPr>
              <w:t>‑</w:t>
            </w:r>
            <w:r w:rsidRPr="004E4528">
              <w:rPr>
                <w:rFonts w:ascii="Arial Narrow" w:hAnsi="Arial Narrow"/>
                <w:sz w:val="24"/>
                <w:szCs w:val="24"/>
              </w:rPr>
              <w:t>4.710, F.A.C. (School Readiness program curricula); Rule 6M</w:t>
            </w:r>
            <w:r w:rsidRPr="004E4528">
              <w:rPr>
                <w:rFonts w:ascii="Cambria Math" w:hAnsi="Cambria Math" w:cs="Cambria Math"/>
                <w:sz w:val="24"/>
                <w:szCs w:val="24"/>
              </w:rPr>
              <w:t>‑</w:t>
            </w:r>
            <w:r w:rsidRPr="004E4528">
              <w:rPr>
                <w:rFonts w:ascii="Arial Narrow" w:hAnsi="Arial Narrow"/>
                <w:sz w:val="24"/>
                <w:szCs w:val="24"/>
              </w:rPr>
              <w:t>4.700, F.A.C. (Child performance standards); Florida Early Learning and Developmental Standards and DEL Approved Curriculum List.</w:t>
            </w:r>
          </w:p>
        </w:tc>
        <w:tc>
          <w:tcPr>
            <w:tcW w:w="679" w:type="pct"/>
            <w:shd w:val="clear" w:color="auto" w:fill="E2F0D9"/>
          </w:tcPr>
          <w:p w14:paraId="16C1E828" w14:textId="6BE89740"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27F3F24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Curriculum remains required; Program would gain flexibility in implementation and documentation.</w:t>
            </w:r>
          </w:p>
        </w:tc>
        <w:tc>
          <w:tcPr>
            <w:tcW w:w="310" w:type="pct"/>
            <w:shd w:val="clear" w:color="auto" w:fill="FFF2CC"/>
          </w:tcPr>
          <w:p w14:paraId="54A2DDB8"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6F8BEC06" w14:textId="77777777" w:rsidTr="005056A3">
        <w:trPr>
          <w:cantSplit/>
        </w:trPr>
        <w:tc>
          <w:tcPr>
            <w:tcW w:w="456" w:type="pct"/>
          </w:tcPr>
          <w:p w14:paraId="0D3468C2"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Developmental screening &amp; assessment</w:t>
            </w:r>
          </w:p>
        </w:tc>
        <w:tc>
          <w:tcPr>
            <w:tcW w:w="648" w:type="pct"/>
          </w:tcPr>
          <w:p w14:paraId="2EA3915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§1302.33 contains detailed screening and assessment procedures.</w:t>
            </w:r>
          </w:p>
        </w:tc>
        <w:tc>
          <w:tcPr>
            <w:tcW w:w="552" w:type="pct"/>
          </w:tcPr>
          <w:p w14:paraId="540AF57E"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§1302.33 is rescinded.</w:t>
            </w:r>
          </w:p>
        </w:tc>
        <w:tc>
          <w:tcPr>
            <w:tcW w:w="531" w:type="pct"/>
          </w:tcPr>
          <w:p w14:paraId="4378C28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continues to require research-based, developmentally appropriate, valid and reliable screening and assessment methods.</w:t>
            </w:r>
          </w:p>
        </w:tc>
        <w:tc>
          <w:tcPr>
            <w:tcW w:w="938" w:type="pct"/>
          </w:tcPr>
          <w:p w14:paraId="0B63DC03" w14:textId="5554698D" w:rsidR="00EE3430" w:rsidRPr="004E4528" w:rsidRDefault="005E02EB" w:rsidP="006D2EEE">
            <w:pPr>
              <w:spacing w:line="228" w:lineRule="auto"/>
              <w:rPr>
                <w:rFonts w:ascii="Arial Narrow" w:hAnsi="Arial Narrow"/>
                <w:sz w:val="24"/>
                <w:szCs w:val="24"/>
              </w:rPr>
            </w:pPr>
            <w:r w:rsidRPr="004E4528">
              <w:rPr>
                <w:rFonts w:ascii="Arial Narrow" w:hAnsi="Arial Narrow"/>
                <w:sz w:val="24"/>
                <w:szCs w:val="24"/>
              </w:rPr>
              <w:t>Rule 6M</w:t>
            </w:r>
            <w:r w:rsidRPr="004E4528">
              <w:rPr>
                <w:rFonts w:ascii="Arial Narrow" w:hAnsi="Arial Narrow"/>
                <w:sz w:val="24"/>
                <w:szCs w:val="24"/>
              </w:rPr>
              <w:noBreakHyphen/>
              <w:t>4.720, F.A.C. (Screening of Children in the School Readiness Program); DEL guidance requiring ASQ</w:t>
            </w:r>
            <w:r w:rsidRPr="004E4528">
              <w:rPr>
                <w:rFonts w:ascii="Arial Narrow" w:hAnsi="Arial Narrow"/>
                <w:sz w:val="24"/>
                <w:szCs w:val="24"/>
              </w:rPr>
              <w:noBreakHyphen/>
              <w:t>3 screening and use of approved curricula and assessments (6M</w:t>
            </w:r>
            <w:r w:rsidRPr="004E4528">
              <w:rPr>
                <w:rFonts w:ascii="Arial Narrow" w:hAnsi="Arial Narrow"/>
                <w:sz w:val="24"/>
                <w:szCs w:val="24"/>
              </w:rPr>
              <w:noBreakHyphen/>
              <w:t>4.710, 6M</w:t>
            </w:r>
            <w:r w:rsidRPr="004E4528">
              <w:rPr>
                <w:rFonts w:ascii="Arial Narrow" w:hAnsi="Arial Narrow"/>
                <w:sz w:val="24"/>
                <w:szCs w:val="24"/>
              </w:rPr>
              <w:noBreakHyphen/>
              <w:t>4.700).</w:t>
            </w:r>
          </w:p>
        </w:tc>
        <w:tc>
          <w:tcPr>
            <w:tcW w:w="679" w:type="pct"/>
            <w:shd w:val="clear" w:color="auto" w:fill="E2F0D9"/>
          </w:tcPr>
          <w:p w14:paraId="0ACBBA7E" w14:textId="6EB75C7B"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44BE3A8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Do not discontinue screenings or assessments. Review internal timelines/processes to distinguish statutory, IDEA, state and Program requirements.</w:t>
            </w:r>
          </w:p>
        </w:tc>
        <w:tc>
          <w:tcPr>
            <w:tcW w:w="310" w:type="pct"/>
            <w:shd w:val="clear" w:color="auto" w:fill="F4CCCC"/>
          </w:tcPr>
          <w:p w14:paraId="50D752AF"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71843ED1" w14:textId="77777777" w:rsidTr="005056A3">
        <w:trPr>
          <w:cantSplit/>
        </w:trPr>
        <w:tc>
          <w:tcPr>
            <w:tcW w:w="456" w:type="pct"/>
          </w:tcPr>
          <w:p w14:paraId="65EA83F6"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Dual Language Learners / language of instruction</w:t>
            </w:r>
          </w:p>
        </w:tc>
        <w:tc>
          <w:tcPr>
            <w:tcW w:w="648" w:type="pct"/>
          </w:tcPr>
          <w:p w14:paraId="70D54FD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supports English acquisition and home-language development.</w:t>
            </w:r>
          </w:p>
        </w:tc>
        <w:tc>
          <w:tcPr>
            <w:tcW w:w="552" w:type="pct"/>
          </w:tcPr>
          <w:p w14:paraId="4265561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Education would be required to be conducted in English, except certain AIAN programs using tribal language.</w:t>
            </w:r>
          </w:p>
        </w:tc>
        <w:tc>
          <w:tcPr>
            <w:tcW w:w="531" w:type="pct"/>
          </w:tcPr>
          <w:p w14:paraId="44A42F1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continues to require educational and school-readiness services.</w:t>
            </w:r>
          </w:p>
        </w:tc>
        <w:tc>
          <w:tcPr>
            <w:tcW w:w="938" w:type="pct"/>
          </w:tcPr>
          <w:p w14:paraId="19D095F7" w14:textId="405A8F76" w:rsidR="00EE3430" w:rsidRPr="004E4528" w:rsidRDefault="00E66349" w:rsidP="006D2EEE">
            <w:pPr>
              <w:spacing w:line="228" w:lineRule="auto"/>
              <w:rPr>
                <w:rFonts w:ascii="Arial Narrow" w:hAnsi="Arial Narrow"/>
                <w:sz w:val="24"/>
                <w:szCs w:val="24"/>
              </w:rPr>
            </w:pPr>
            <w:r w:rsidRPr="004E4528">
              <w:rPr>
                <w:rFonts w:ascii="Arial Narrow" w:hAnsi="Arial Narrow"/>
                <w:sz w:val="24"/>
                <w:szCs w:val="24"/>
              </w:rPr>
              <w:t>No SR statute prescribing language of instruction. Florida Early Learning and Developmental Standards recognize language and literacy development, but there is no requirement that instruction be conducted in English only.</w:t>
            </w:r>
          </w:p>
        </w:tc>
        <w:tc>
          <w:tcPr>
            <w:tcW w:w="679" w:type="pct"/>
            <w:shd w:val="clear" w:color="auto" w:fill="FCE4D6"/>
          </w:tcPr>
          <w:p w14:paraId="69AF0F18" w14:textId="2D4060DC"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7BE2FD1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Major education impact. Curriculum, materials, instructional strategies, DLL supports and staff training would require review if finalized.</w:t>
            </w:r>
          </w:p>
        </w:tc>
        <w:tc>
          <w:tcPr>
            <w:tcW w:w="310" w:type="pct"/>
            <w:shd w:val="clear" w:color="auto" w:fill="F4CCCC"/>
          </w:tcPr>
          <w:p w14:paraId="4E140803"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660D1EA1" w14:textId="77777777" w:rsidTr="005056A3">
        <w:trPr>
          <w:cantSplit/>
        </w:trPr>
        <w:tc>
          <w:tcPr>
            <w:tcW w:w="456" w:type="pct"/>
          </w:tcPr>
          <w:p w14:paraId="796ACF0F"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Parent engagement in education</w:t>
            </w:r>
          </w:p>
        </w:tc>
        <w:tc>
          <w:tcPr>
            <w:tcW w:w="648" w:type="pct"/>
          </w:tcPr>
          <w:p w14:paraId="11966B7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§1302.34 contains detailed parent/family engagement requirements.</w:t>
            </w:r>
          </w:p>
        </w:tc>
        <w:tc>
          <w:tcPr>
            <w:tcW w:w="552" w:type="pct"/>
          </w:tcPr>
          <w:p w14:paraId="52A54ED4"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§1301.06 substantially reduces specificity.</w:t>
            </w:r>
          </w:p>
        </w:tc>
        <w:tc>
          <w:tcPr>
            <w:tcW w:w="531" w:type="pct"/>
          </w:tcPr>
          <w:p w14:paraId="2ACE075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continues to require parent participation and recognizes parents as primary partners in children's learning and program direction.</w:t>
            </w:r>
          </w:p>
        </w:tc>
        <w:tc>
          <w:tcPr>
            <w:tcW w:w="938" w:type="pct"/>
          </w:tcPr>
          <w:p w14:paraId="720885BD" w14:textId="7D7894C8" w:rsidR="00EE3430" w:rsidRPr="004E4528" w:rsidRDefault="00D06986" w:rsidP="006D2EEE">
            <w:pPr>
              <w:spacing w:line="228" w:lineRule="auto"/>
              <w:rPr>
                <w:rFonts w:ascii="Arial Narrow" w:hAnsi="Arial Narrow"/>
                <w:sz w:val="24"/>
                <w:szCs w:val="24"/>
              </w:rPr>
            </w:pPr>
            <w:r w:rsidRPr="004E4528">
              <w:rPr>
                <w:rFonts w:ascii="Arial Narrow" w:hAnsi="Arial Narrow"/>
                <w:sz w:val="24"/>
                <w:szCs w:val="24"/>
              </w:rPr>
              <w:t>F.S. §1002.92 (Child Care Resource and Referral); Rule 6M</w:t>
            </w:r>
            <w:r w:rsidRPr="004E4528">
              <w:rPr>
                <w:rFonts w:ascii="Cambria Math" w:hAnsi="Cambria Math" w:cs="Cambria Math"/>
                <w:sz w:val="24"/>
                <w:szCs w:val="24"/>
              </w:rPr>
              <w:t>‑</w:t>
            </w:r>
            <w:r w:rsidRPr="004E4528">
              <w:rPr>
                <w:rFonts w:ascii="Arial Narrow" w:hAnsi="Arial Narrow"/>
                <w:sz w:val="24"/>
                <w:szCs w:val="24"/>
              </w:rPr>
              <w:t>9.300, F.A.C. (CCR&amp;R and consumer education); coalition and provider contracts emphasize family communication and engagement but do not mirror Head Start PFCE specificity.</w:t>
            </w:r>
          </w:p>
        </w:tc>
        <w:tc>
          <w:tcPr>
            <w:tcW w:w="679" w:type="pct"/>
            <w:shd w:val="clear" w:color="auto" w:fill="E2F0D9"/>
          </w:tcPr>
          <w:p w14:paraId="3CFD474A" w14:textId="4241D155"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5BA4A6D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Continue family engagement while potentially simplifying required methods and documentation.</w:t>
            </w:r>
          </w:p>
        </w:tc>
        <w:tc>
          <w:tcPr>
            <w:tcW w:w="310" w:type="pct"/>
            <w:shd w:val="clear" w:color="auto" w:fill="FFF2CC"/>
          </w:tcPr>
          <w:p w14:paraId="56A07DF6"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4D46E400" w14:textId="77777777" w:rsidTr="005056A3">
        <w:trPr>
          <w:cantSplit/>
        </w:trPr>
        <w:tc>
          <w:tcPr>
            <w:tcW w:w="456" w:type="pct"/>
          </w:tcPr>
          <w:p w14:paraId="205D05A5"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Father engagement</w:t>
            </w:r>
          </w:p>
        </w:tc>
        <w:tc>
          <w:tcPr>
            <w:tcW w:w="648" w:type="pct"/>
          </w:tcPr>
          <w:p w14:paraId="2BAE47C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Addressed within broader PFCE/family engagement requirements.</w:t>
            </w:r>
          </w:p>
        </w:tc>
        <w:tc>
          <w:tcPr>
            <w:tcW w:w="552" w:type="pct"/>
          </w:tcPr>
          <w:p w14:paraId="5804B060"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rule explicitly requires strategies for father engagement.</w:t>
            </w:r>
          </w:p>
        </w:tc>
        <w:tc>
          <w:tcPr>
            <w:tcW w:w="531" w:type="pct"/>
          </w:tcPr>
          <w:p w14:paraId="46EF423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includes responsible father engagement/family-strengthening language.</w:t>
            </w:r>
          </w:p>
        </w:tc>
        <w:tc>
          <w:tcPr>
            <w:tcW w:w="938" w:type="pct"/>
          </w:tcPr>
          <w:p w14:paraId="5A8400C5" w14:textId="515A05C0" w:rsidR="00EE3430" w:rsidRPr="004E4528" w:rsidRDefault="00D06986" w:rsidP="006D2EEE">
            <w:pPr>
              <w:spacing w:line="228" w:lineRule="auto"/>
              <w:rPr>
                <w:rFonts w:ascii="Arial Narrow" w:hAnsi="Arial Narrow"/>
                <w:sz w:val="24"/>
                <w:szCs w:val="24"/>
              </w:rPr>
            </w:pPr>
            <w:r w:rsidRPr="004E4528">
              <w:rPr>
                <w:rFonts w:ascii="Arial Narrow" w:hAnsi="Arial Narrow"/>
                <w:sz w:val="24"/>
                <w:szCs w:val="24"/>
              </w:rPr>
              <w:t>No Florida statute specifically requiring “father engagement” strategies in SR. Family engagement is addressed broadly through CCR&amp;R and coalition guidance (F.S. §1002.92; Rule 6M</w:t>
            </w:r>
            <w:r w:rsidRPr="004E4528">
              <w:rPr>
                <w:rFonts w:ascii="Cambria Math" w:hAnsi="Cambria Math" w:cs="Cambria Math"/>
                <w:sz w:val="24"/>
                <w:szCs w:val="24"/>
              </w:rPr>
              <w:t>‑</w:t>
            </w:r>
            <w:r w:rsidRPr="004E4528">
              <w:rPr>
                <w:rFonts w:ascii="Arial Narrow" w:hAnsi="Arial Narrow"/>
                <w:sz w:val="24"/>
                <w:szCs w:val="24"/>
              </w:rPr>
              <w:t>9.300, F.A.C.).</w:t>
            </w:r>
          </w:p>
        </w:tc>
        <w:tc>
          <w:tcPr>
            <w:tcW w:w="679" w:type="pct"/>
            <w:shd w:val="clear" w:color="auto" w:fill="FCE4D6"/>
          </w:tcPr>
          <w:p w14:paraId="63CC3509" w14:textId="40F6E38A"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2C1B7A2E"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Family Services/PFCE plans and activities should explicitly include father engagement strategies if finalized.</w:t>
            </w:r>
          </w:p>
        </w:tc>
        <w:tc>
          <w:tcPr>
            <w:tcW w:w="310" w:type="pct"/>
            <w:shd w:val="clear" w:color="auto" w:fill="FFF2CC"/>
          </w:tcPr>
          <w:p w14:paraId="352AFD5F"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659C7F2F" w14:textId="77777777" w:rsidTr="005056A3">
        <w:trPr>
          <w:cantSplit/>
        </w:trPr>
        <w:tc>
          <w:tcPr>
            <w:tcW w:w="456" w:type="pct"/>
          </w:tcPr>
          <w:p w14:paraId="33A5C092"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Healthy marriage education</w:t>
            </w:r>
          </w:p>
        </w:tc>
        <w:tc>
          <w:tcPr>
            <w:tcW w:w="648" w:type="pct"/>
          </w:tcPr>
          <w:p w14:paraId="78D9827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No comparable explicit HSPPS requirement described in the NPRM.</w:t>
            </w:r>
          </w:p>
        </w:tc>
        <w:tc>
          <w:tcPr>
            <w:tcW w:w="552" w:type="pct"/>
          </w:tcPr>
          <w:p w14:paraId="4B6E2E5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Programs would newly be required to provide educational materials/instruction demonstrating healthy marriage as a positive good.</w:t>
            </w:r>
          </w:p>
        </w:tc>
        <w:tc>
          <w:tcPr>
            <w:tcW w:w="531" w:type="pct"/>
          </w:tcPr>
          <w:p w14:paraId="5CF4EB90"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contains broader family-strengthening language.</w:t>
            </w:r>
          </w:p>
        </w:tc>
        <w:tc>
          <w:tcPr>
            <w:tcW w:w="938" w:type="pct"/>
          </w:tcPr>
          <w:p w14:paraId="7461D7D6" w14:textId="222B0A51" w:rsidR="00EE3430" w:rsidRPr="004E4528" w:rsidRDefault="00D06986" w:rsidP="00D06986">
            <w:pPr>
              <w:spacing w:line="228" w:lineRule="auto"/>
              <w:rPr>
                <w:rFonts w:ascii="Arial Narrow" w:hAnsi="Arial Narrow"/>
                <w:sz w:val="24"/>
                <w:szCs w:val="24"/>
              </w:rPr>
            </w:pPr>
            <w:r w:rsidRPr="004E4528">
              <w:rPr>
                <w:rFonts w:ascii="Arial Narrow" w:hAnsi="Arial Narrow"/>
                <w:sz w:val="24"/>
                <w:szCs w:val="24"/>
              </w:rPr>
              <w:t>No SR/CCDF statute requiring healthy</w:t>
            </w:r>
            <w:r w:rsidRPr="004E4528">
              <w:rPr>
                <w:rFonts w:ascii="Cambria Math" w:hAnsi="Cambria Math" w:cs="Cambria Math"/>
                <w:sz w:val="24"/>
                <w:szCs w:val="24"/>
              </w:rPr>
              <w:t>‑</w:t>
            </w:r>
            <w:r w:rsidRPr="004E4528">
              <w:rPr>
                <w:rFonts w:ascii="Arial Narrow" w:hAnsi="Arial Narrow"/>
                <w:sz w:val="24"/>
                <w:szCs w:val="24"/>
              </w:rPr>
              <w:t>marriage education. Related family</w:t>
            </w:r>
            <w:r w:rsidRPr="004E4528">
              <w:rPr>
                <w:rFonts w:ascii="Cambria Math" w:hAnsi="Cambria Math" w:cs="Cambria Math"/>
                <w:sz w:val="24"/>
                <w:szCs w:val="24"/>
              </w:rPr>
              <w:t>‑</w:t>
            </w:r>
            <w:r w:rsidRPr="004E4528">
              <w:rPr>
                <w:rFonts w:ascii="Arial Narrow" w:hAnsi="Arial Narrow"/>
                <w:sz w:val="24"/>
                <w:szCs w:val="24"/>
              </w:rPr>
              <w:t>strengthening concepts appear in broader human services systems, not in SR law.</w:t>
            </w:r>
          </w:p>
        </w:tc>
        <w:tc>
          <w:tcPr>
            <w:tcW w:w="679" w:type="pct"/>
            <w:shd w:val="clear" w:color="auto" w:fill="FCE4D6"/>
          </w:tcPr>
          <w:p w14:paraId="3AFDEE58" w14:textId="5C564354"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3AAD898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Would require review of family education curricula/materials and implementation guidance.</w:t>
            </w:r>
          </w:p>
        </w:tc>
        <w:tc>
          <w:tcPr>
            <w:tcW w:w="310" w:type="pct"/>
            <w:shd w:val="clear" w:color="auto" w:fill="F4CCCC"/>
          </w:tcPr>
          <w:p w14:paraId="2E82A90F"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62196689" w14:textId="77777777" w:rsidTr="005056A3">
        <w:trPr>
          <w:cantSplit/>
        </w:trPr>
        <w:tc>
          <w:tcPr>
            <w:tcW w:w="456" w:type="pct"/>
          </w:tcPr>
          <w:p w14:paraId="3FC82D01"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Family partnership services</w:t>
            </w:r>
          </w:p>
        </w:tc>
        <w:tc>
          <w:tcPr>
            <w:tcW w:w="648" w:type="pct"/>
          </w:tcPr>
          <w:p w14:paraId="7D734DA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Subpart E contains detailed family assessment, partnership and service delivery procedures.</w:t>
            </w:r>
          </w:p>
        </w:tc>
        <w:tc>
          <w:tcPr>
            <w:tcW w:w="552" w:type="pct"/>
          </w:tcPr>
          <w:p w14:paraId="4B77457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Subpart E is rescinded; implementation becomes less prescriptive.</w:t>
            </w:r>
          </w:p>
        </w:tc>
        <w:tc>
          <w:tcPr>
            <w:tcW w:w="531" w:type="pct"/>
          </w:tcPr>
          <w:p w14:paraId="39B1478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Family/community engagement and comprehensive family services remain required under the Act.</w:t>
            </w:r>
          </w:p>
        </w:tc>
        <w:tc>
          <w:tcPr>
            <w:tcW w:w="938" w:type="pct"/>
          </w:tcPr>
          <w:p w14:paraId="2B0395F4" w14:textId="2B0483B1" w:rsidR="00EE3430" w:rsidRPr="004E4528" w:rsidRDefault="006006BD" w:rsidP="00D06986">
            <w:pPr>
              <w:spacing w:line="228" w:lineRule="auto"/>
              <w:rPr>
                <w:rFonts w:ascii="Arial Narrow" w:hAnsi="Arial Narrow"/>
                <w:sz w:val="24"/>
                <w:szCs w:val="24"/>
              </w:rPr>
            </w:pPr>
            <w:r w:rsidRPr="004E4528">
              <w:rPr>
                <w:rFonts w:ascii="Arial Narrow" w:hAnsi="Arial Narrow"/>
                <w:sz w:val="24"/>
                <w:szCs w:val="24"/>
              </w:rPr>
              <w:t>F.S. §1002.92 (CCR&amp;R and consumer education); Rule 6M</w:t>
            </w:r>
            <w:r w:rsidRPr="004E4528">
              <w:rPr>
                <w:rFonts w:ascii="Cambria Math" w:hAnsi="Cambria Math" w:cs="Cambria Math"/>
                <w:sz w:val="24"/>
                <w:szCs w:val="24"/>
              </w:rPr>
              <w:t>‑</w:t>
            </w:r>
            <w:r w:rsidRPr="004E4528">
              <w:rPr>
                <w:rFonts w:ascii="Arial Narrow" w:hAnsi="Arial Narrow"/>
                <w:sz w:val="24"/>
                <w:szCs w:val="24"/>
              </w:rPr>
              <w:t>9.300, F.A.C. (resource and referral, consumer education); SR contracts may include family support expectations, but there is no formal “family partnership agreement” requirement like HSPPS Subpart E.</w:t>
            </w:r>
          </w:p>
        </w:tc>
        <w:tc>
          <w:tcPr>
            <w:tcW w:w="679" w:type="pct"/>
            <w:shd w:val="clear" w:color="auto" w:fill="E2F0D9"/>
          </w:tcPr>
          <w:p w14:paraId="61125A63" w14:textId="6970E4BA"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18227F54"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Family Services does not go away. Program may have more discretion over Family Partnership/Family Care Planning processes and documentation.</w:t>
            </w:r>
          </w:p>
        </w:tc>
        <w:tc>
          <w:tcPr>
            <w:tcW w:w="310" w:type="pct"/>
            <w:shd w:val="clear" w:color="auto" w:fill="F4CCCC"/>
          </w:tcPr>
          <w:p w14:paraId="7E7B7A8D"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59FA9BAC" w14:textId="77777777" w:rsidTr="005056A3">
        <w:trPr>
          <w:cantSplit/>
        </w:trPr>
        <w:tc>
          <w:tcPr>
            <w:tcW w:w="456" w:type="pct"/>
          </w:tcPr>
          <w:p w14:paraId="037F8498"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40:1 Family Services caseload</w:t>
            </w:r>
          </w:p>
        </w:tc>
        <w:tc>
          <w:tcPr>
            <w:tcW w:w="648" w:type="pct"/>
          </w:tcPr>
          <w:p w14:paraId="4E0E6122"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2024 rule establishes a planned maximum of 40 families per staff member conducting the family partnership process.</w:t>
            </w:r>
          </w:p>
        </w:tc>
        <w:tc>
          <w:tcPr>
            <w:tcW w:w="552" w:type="pct"/>
          </w:tcPr>
          <w:p w14:paraId="18B12BB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40:1 federal caseload limit is removed.</w:t>
            </w:r>
          </w:p>
        </w:tc>
        <w:tc>
          <w:tcPr>
            <w:tcW w:w="531" w:type="pct"/>
          </w:tcPr>
          <w:p w14:paraId="5FE8026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No equivalent 40:1 requirement in the Act.</w:t>
            </w:r>
          </w:p>
        </w:tc>
        <w:tc>
          <w:tcPr>
            <w:tcW w:w="938" w:type="pct"/>
          </w:tcPr>
          <w:p w14:paraId="595FE87C" w14:textId="35131DA2" w:rsidR="00EE3430" w:rsidRPr="004E4528" w:rsidRDefault="006006BD" w:rsidP="00D06986">
            <w:pPr>
              <w:spacing w:line="228" w:lineRule="auto"/>
              <w:rPr>
                <w:rFonts w:ascii="Arial Narrow" w:hAnsi="Arial Narrow"/>
                <w:sz w:val="24"/>
                <w:szCs w:val="24"/>
              </w:rPr>
            </w:pPr>
            <w:r w:rsidRPr="004E4528">
              <w:rPr>
                <w:rFonts w:ascii="Arial Narrow" w:hAnsi="Arial Narrow"/>
                <w:sz w:val="24"/>
                <w:szCs w:val="24"/>
              </w:rPr>
              <w:t>No Florida statute or rule establishing a specific family</w:t>
            </w:r>
            <w:r w:rsidRPr="004E4528">
              <w:rPr>
                <w:rFonts w:ascii="Cambria Math" w:hAnsi="Cambria Math" w:cs="Cambria Math"/>
                <w:sz w:val="24"/>
                <w:szCs w:val="24"/>
              </w:rPr>
              <w:t>‑</w:t>
            </w:r>
            <w:r w:rsidRPr="004E4528">
              <w:rPr>
                <w:rFonts w:ascii="Arial Narrow" w:hAnsi="Arial Narrow"/>
                <w:sz w:val="24"/>
                <w:szCs w:val="24"/>
              </w:rPr>
              <w:t>services caseload ratio. Caseloads are determined locally through program design and contracts.</w:t>
            </w:r>
          </w:p>
        </w:tc>
        <w:tc>
          <w:tcPr>
            <w:tcW w:w="679" w:type="pct"/>
            <w:shd w:val="clear" w:color="auto" w:fill="FFF2CC"/>
          </w:tcPr>
          <w:p w14:paraId="62B1C060" w14:textId="653FBDC4"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582E063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could assign caseloads based on intensity of family needs, geography and program capacity rather than a universal maximum.</w:t>
            </w:r>
          </w:p>
        </w:tc>
        <w:tc>
          <w:tcPr>
            <w:tcW w:w="310" w:type="pct"/>
            <w:shd w:val="clear" w:color="auto" w:fill="F4CCCC"/>
          </w:tcPr>
          <w:p w14:paraId="78B1D9BA"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071FD2F2" w14:textId="77777777" w:rsidTr="005056A3">
        <w:trPr>
          <w:cantSplit/>
        </w:trPr>
        <w:tc>
          <w:tcPr>
            <w:tcW w:w="456" w:type="pct"/>
          </w:tcPr>
          <w:p w14:paraId="7E32ECEC"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Transition services</w:t>
            </w:r>
          </w:p>
        </w:tc>
        <w:tc>
          <w:tcPr>
            <w:tcW w:w="648" w:type="pct"/>
          </w:tcPr>
          <w:p w14:paraId="02B818F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Subpart G contains detailed transition service requirements.</w:t>
            </w:r>
          </w:p>
        </w:tc>
        <w:tc>
          <w:tcPr>
            <w:tcW w:w="552" w:type="pct"/>
          </w:tcPr>
          <w:p w14:paraId="6BA27FB0"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Subpart G is rescinded.</w:t>
            </w:r>
          </w:p>
        </w:tc>
        <w:tc>
          <w:tcPr>
            <w:tcW w:w="531" w:type="pct"/>
          </w:tcPr>
          <w:p w14:paraId="5409797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Transition responsibilities remain in the Act, including collaboration with schools and parent involvement in transition.</w:t>
            </w:r>
          </w:p>
        </w:tc>
        <w:tc>
          <w:tcPr>
            <w:tcW w:w="938" w:type="pct"/>
          </w:tcPr>
          <w:p w14:paraId="3476A06A" w14:textId="468044DA" w:rsidR="00EE3430" w:rsidRPr="004E4528" w:rsidRDefault="006006BD" w:rsidP="00D06986">
            <w:pPr>
              <w:spacing w:line="228" w:lineRule="auto"/>
              <w:rPr>
                <w:rFonts w:ascii="Arial Narrow" w:hAnsi="Arial Narrow"/>
                <w:sz w:val="24"/>
                <w:szCs w:val="24"/>
              </w:rPr>
            </w:pPr>
            <w:r w:rsidRPr="004E4528">
              <w:rPr>
                <w:rFonts w:ascii="Arial Narrow" w:hAnsi="Arial Narrow"/>
                <w:sz w:val="24"/>
                <w:szCs w:val="24"/>
              </w:rPr>
              <w:t>F.S. §1002.81–1002.88 (SR framework) and VPK statutes (e.g., §1002.68) support kindergarten readiness and coordination, but there is no detailed transition services framework equivalent to HSPPS Subpart G.</w:t>
            </w:r>
          </w:p>
        </w:tc>
        <w:tc>
          <w:tcPr>
            <w:tcW w:w="679" w:type="pct"/>
            <w:shd w:val="clear" w:color="auto" w:fill="E2F0D9"/>
          </w:tcPr>
          <w:p w14:paraId="0A861584" w14:textId="6C592F40"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54F4146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Continue transition work but potentially simplify procedures and documentation.</w:t>
            </w:r>
          </w:p>
        </w:tc>
        <w:tc>
          <w:tcPr>
            <w:tcW w:w="310" w:type="pct"/>
            <w:shd w:val="clear" w:color="auto" w:fill="FFF2CC"/>
          </w:tcPr>
          <w:p w14:paraId="32BFE779"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011D588D" w14:textId="77777777" w:rsidTr="005056A3">
        <w:trPr>
          <w:cantSplit/>
        </w:trPr>
        <w:tc>
          <w:tcPr>
            <w:tcW w:w="456" w:type="pct"/>
          </w:tcPr>
          <w:p w14:paraId="6AEC340D"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Disabilities - overall</w:t>
            </w:r>
          </w:p>
        </w:tc>
        <w:tc>
          <w:tcPr>
            <w:tcW w:w="648" w:type="pct"/>
          </w:tcPr>
          <w:p w14:paraId="0295C20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Subpart F contains detailed disabilities service requirements.</w:t>
            </w:r>
          </w:p>
        </w:tc>
        <w:tc>
          <w:tcPr>
            <w:tcW w:w="552" w:type="pct"/>
          </w:tcPr>
          <w:p w14:paraId="464117D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Replaced with proposed §1301.10 requiring compliance with applicable federal/state disability law.</w:t>
            </w:r>
          </w:p>
        </w:tc>
        <w:tc>
          <w:tcPr>
            <w:tcW w:w="531" w:type="pct"/>
          </w:tcPr>
          <w:p w14:paraId="4A3CDE7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and IDEA retain multiple requirements for children with disabilities.</w:t>
            </w:r>
          </w:p>
        </w:tc>
        <w:tc>
          <w:tcPr>
            <w:tcW w:w="938" w:type="pct"/>
          </w:tcPr>
          <w:p w14:paraId="2765B829" w14:textId="534F81C0" w:rsidR="00EE3430" w:rsidRPr="004E4528" w:rsidRDefault="000B6C02" w:rsidP="00D06986">
            <w:pPr>
              <w:spacing w:line="228" w:lineRule="auto"/>
              <w:rPr>
                <w:rFonts w:ascii="Arial Narrow" w:hAnsi="Arial Narrow"/>
                <w:sz w:val="24"/>
                <w:szCs w:val="24"/>
              </w:rPr>
            </w:pPr>
            <w:r w:rsidRPr="004E4528">
              <w:rPr>
                <w:rFonts w:ascii="Arial Narrow" w:hAnsi="Arial Narrow"/>
                <w:sz w:val="24"/>
                <w:szCs w:val="24"/>
              </w:rPr>
              <w:t>F.S. §1002.87 (eligibility and enrollment, including children with disabilities/at</w:t>
            </w:r>
            <w:r w:rsidRPr="004E4528">
              <w:rPr>
                <w:rFonts w:ascii="Cambria Math" w:hAnsi="Cambria Math" w:cs="Cambria Math"/>
                <w:sz w:val="24"/>
                <w:szCs w:val="24"/>
              </w:rPr>
              <w:t>‑</w:t>
            </w:r>
            <w:r w:rsidRPr="004E4528">
              <w:rPr>
                <w:rFonts w:ascii="Arial Narrow" w:hAnsi="Arial Narrow"/>
                <w:sz w:val="24"/>
                <w:szCs w:val="24"/>
              </w:rPr>
              <w:t>risk); Rule 6M</w:t>
            </w:r>
            <w:r w:rsidRPr="004E4528">
              <w:rPr>
                <w:rFonts w:ascii="Cambria Math" w:hAnsi="Cambria Math" w:cs="Cambria Math"/>
                <w:sz w:val="24"/>
                <w:szCs w:val="24"/>
              </w:rPr>
              <w:t>‑</w:t>
            </w:r>
            <w:r w:rsidRPr="004E4528">
              <w:rPr>
                <w:rFonts w:ascii="Arial Narrow" w:hAnsi="Arial Narrow"/>
                <w:sz w:val="24"/>
                <w:szCs w:val="24"/>
              </w:rPr>
              <w:t>4.700, F.A.C. (child performance standards); Rule 6M</w:t>
            </w:r>
            <w:r w:rsidRPr="004E4528">
              <w:rPr>
                <w:rFonts w:ascii="Cambria Math" w:hAnsi="Cambria Math" w:cs="Cambria Math"/>
                <w:sz w:val="24"/>
                <w:szCs w:val="24"/>
              </w:rPr>
              <w:t>‑</w:t>
            </w:r>
            <w:r w:rsidRPr="004E4528">
              <w:rPr>
                <w:rFonts w:ascii="Arial Narrow" w:hAnsi="Arial Narrow"/>
                <w:sz w:val="24"/>
                <w:szCs w:val="24"/>
              </w:rPr>
              <w:t>4.720, F.A.C. (screening). IDEA and Section 504/ADA apply separately; Florida SR does not replicate Head Start Subpart F.</w:t>
            </w:r>
          </w:p>
        </w:tc>
        <w:tc>
          <w:tcPr>
            <w:tcW w:w="679" w:type="pct"/>
            <w:shd w:val="clear" w:color="auto" w:fill="E2F0D9"/>
          </w:tcPr>
          <w:p w14:paraId="1C2F44AA" w14:textId="33999E96"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w:t>
            </w:r>
          </w:p>
        </w:tc>
        <w:tc>
          <w:tcPr>
            <w:tcW w:w="886" w:type="pct"/>
          </w:tcPr>
          <w:p w14:paraId="5C69E18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Do not dismantle the disabilities system. Regulatory detail shifts to the Act/IDEA rather than disappearing.</w:t>
            </w:r>
          </w:p>
        </w:tc>
        <w:tc>
          <w:tcPr>
            <w:tcW w:w="310" w:type="pct"/>
            <w:shd w:val="clear" w:color="auto" w:fill="F4CCCC"/>
          </w:tcPr>
          <w:p w14:paraId="64FE0BF3"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34AE6B0C" w14:textId="77777777" w:rsidTr="005056A3">
        <w:trPr>
          <w:cantSplit/>
        </w:trPr>
        <w:tc>
          <w:tcPr>
            <w:tcW w:w="456" w:type="pct"/>
          </w:tcPr>
          <w:p w14:paraId="5DDAC295"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Disabilities - timely referral</w:t>
            </w:r>
          </w:p>
        </w:tc>
        <w:tc>
          <w:tcPr>
            <w:tcW w:w="648" w:type="pct"/>
          </w:tcPr>
          <w:p w14:paraId="2C67B22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HSPPS details referral and coordination requirements.</w:t>
            </w:r>
          </w:p>
        </w:tc>
        <w:tc>
          <w:tcPr>
            <w:tcW w:w="552" w:type="pct"/>
          </w:tcPr>
          <w:p w14:paraId="212AA0A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Regulatory detail is reduced.</w:t>
            </w:r>
          </w:p>
        </w:tc>
        <w:tc>
          <w:tcPr>
            <w:tcW w:w="531" w:type="pct"/>
          </w:tcPr>
          <w:p w14:paraId="7B6193E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Head Start Act §642(b)(14) requires effective procedures for timely referral to the State/local IDEA agency and collaboration.</w:t>
            </w:r>
          </w:p>
        </w:tc>
        <w:tc>
          <w:tcPr>
            <w:tcW w:w="938" w:type="pct"/>
          </w:tcPr>
          <w:p w14:paraId="65413B64" w14:textId="5A98A4EB" w:rsidR="00EE3430" w:rsidRPr="004E4528" w:rsidRDefault="000B6C02" w:rsidP="00D06986">
            <w:pPr>
              <w:spacing w:line="228" w:lineRule="auto"/>
              <w:rPr>
                <w:rFonts w:ascii="Arial Narrow" w:hAnsi="Arial Narrow"/>
                <w:sz w:val="24"/>
                <w:szCs w:val="24"/>
              </w:rPr>
            </w:pPr>
            <w:r w:rsidRPr="004E4528">
              <w:rPr>
                <w:rFonts w:ascii="Arial Narrow" w:hAnsi="Arial Narrow"/>
                <w:sz w:val="24"/>
                <w:szCs w:val="24"/>
              </w:rPr>
              <w:t>Rule 6M</w:t>
            </w:r>
            <w:r w:rsidRPr="004E4528">
              <w:rPr>
                <w:rFonts w:ascii="Cambria Math" w:hAnsi="Cambria Math" w:cs="Cambria Math"/>
                <w:sz w:val="24"/>
                <w:szCs w:val="24"/>
              </w:rPr>
              <w:t>‑</w:t>
            </w:r>
            <w:r w:rsidRPr="004E4528">
              <w:rPr>
                <w:rFonts w:ascii="Arial Narrow" w:hAnsi="Arial Narrow"/>
                <w:sz w:val="24"/>
                <w:szCs w:val="24"/>
              </w:rPr>
              <w:t>4.720, F.A.C. (screening of children in SR); DEL guidance on referral following screening results. Timely referral expectations are driven by IDEA and local interagency agreements rather than explicit SR statute.</w:t>
            </w:r>
          </w:p>
        </w:tc>
        <w:tc>
          <w:tcPr>
            <w:tcW w:w="679" w:type="pct"/>
            <w:shd w:val="clear" w:color="auto" w:fill="E2F0D9"/>
          </w:tcPr>
          <w:p w14:paraId="6975284A" w14:textId="45263161"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w:t>
            </w:r>
          </w:p>
        </w:tc>
        <w:tc>
          <w:tcPr>
            <w:tcW w:w="886" w:type="pct"/>
          </w:tcPr>
          <w:p w14:paraId="4E97917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Continue timely referral procedures and monitoring.</w:t>
            </w:r>
          </w:p>
        </w:tc>
        <w:tc>
          <w:tcPr>
            <w:tcW w:w="310" w:type="pct"/>
            <w:shd w:val="clear" w:color="auto" w:fill="F4CCCC"/>
          </w:tcPr>
          <w:p w14:paraId="27B3B834"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556425BE" w14:textId="77777777" w:rsidTr="005056A3">
        <w:trPr>
          <w:cantSplit/>
        </w:trPr>
        <w:tc>
          <w:tcPr>
            <w:tcW w:w="456" w:type="pct"/>
          </w:tcPr>
          <w:p w14:paraId="224D8221"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Early intervening services</w:t>
            </w:r>
          </w:p>
        </w:tc>
        <w:tc>
          <w:tcPr>
            <w:tcW w:w="648" w:type="pct"/>
          </w:tcPr>
          <w:p w14:paraId="1285EC8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addresses supports while disability eligibility is being determined.</w:t>
            </w:r>
          </w:p>
        </w:tc>
        <w:tc>
          <w:tcPr>
            <w:tcW w:w="552" w:type="pct"/>
          </w:tcPr>
          <w:p w14:paraId="36CED36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Regulatory detail is reduced.</w:t>
            </w:r>
          </w:p>
        </w:tc>
        <w:tc>
          <w:tcPr>
            <w:tcW w:w="531" w:type="pct"/>
          </w:tcPr>
          <w:p w14:paraId="3790D54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Head Start Act §642(b)(15) and §640(d) continue to require early supports and prompt referral prior to formal eligibility determination.</w:t>
            </w:r>
          </w:p>
        </w:tc>
        <w:tc>
          <w:tcPr>
            <w:tcW w:w="938" w:type="pct"/>
          </w:tcPr>
          <w:p w14:paraId="5A43A3BE" w14:textId="0237C678" w:rsidR="00EE3430" w:rsidRPr="004E4528" w:rsidRDefault="000B6C02" w:rsidP="00D06986">
            <w:pPr>
              <w:spacing w:line="228" w:lineRule="auto"/>
              <w:rPr>
                <w:rFonts w:ascii="Arial Narrow" w:hAnsi="Arial Narrow"/>
                <w:sz w:val="24"/>
                <w:szCs w:val="24"/>
              </w:rPr>
            </w:pPr>
            <w:r w:rsidRPr="004E4528">
              <w:rPr>
                <w:rFonts w:ascii="Arial Narrow" w:hAnsi="Arial Narrow"/>
                <w:sz w:val="24"/>
                <w:szCs w:val="24"/>
              </w:rPr>
              <w:t>No SR statute using “early intervening services” language. Supports while eligibility is being determined are driven by IDEA, local practices, and program design.</w:t>
            </w:r>
          </w:p>
        </w:tc>
        <w:tc>
          <w:tcPr>
            <w:tcW w:w="679" w:type="pct"/>
            <w:shd w:val="clear" w:color="auto" w:fill="E2F0D9"/>
          </w:tcPr>
          <w:p w14:paraId="4A531435" w14:textId="40821A9C"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w:t>
            </w:r>
          </w:p>
        </w:tc>
        <w:tc>
          <w:tcPr>
            <w:tcW w:w="886" w:type="pct"/>
          </w:tcPr>
          <w:p w14:paraId="703B020E"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Continue support for children while IDEA eligibility is pending.</w:t>
            </w:r>
          </w:p>
        </w:tc>
        <w:tc>
          <w:tcPr>
            <w:tcW w:w="310" w:type="pct"/>
            <w:shd w:val="clear" w:color="auto" w:fill="F4CCCC"/>
          </w:tcPr>
          <w:p w14:paraId="22CAB3E5"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24367190" w14:textId="77777777" w:rsidTr="005056A3">
        <w:trPr>
          <w:cantSplit/>
        </w:trPr>
        <w:tc>
          <w:tcPr>
            <w:tcW w:w="456" w:type="pct"/>
          </w:tcPr>
          <w:p w14:paraId="7E08C3C9"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Health determinations / timelines</w:t>
            </w:r>
          </w:p>
        </w:tc>
        <w:tc>
          <w:tcPr>
            <w:tcW w:w="648" w:type="pct"/>
          </w:tcPr>
          <w:p w14:paraId="314BE71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Subpart D contains detailed health determination, follow-up and timeline requirements.</w:t>
            </w:r>
          </w:p>
        </w:tc>
        <w:tc>
          <w:tcPr>
            <w:tcW w:w="552" w:type="pct"/>
          </w:tcPr>
          <w:p w14:paraId="47ED1494"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Several specific federal health determination processes and timelines are proposed for removal.</w:t>
            </w:r>
          </w:p>
        </w:tc>
        <w:tc>
          <w:tcPr>
            <w:tcW w:w="531" w:type="pct"/>
          </w:tcPr>
          <w:p w14:paraId="6D3B4695" w14:textId="3189C9F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continues to require comprehensive health services; state EPSDT/</w:t>
            </w:r>
            <w:r w:rsidR="00BF30B2">
              <w:rPr>
                <w:rFonts w:ascii="Arial Narrow" w:hAnsi="Arial Narrow"/>
                <w:sz w:val="24"/>
                <w:szCs w:val="24"/>
              </w:rPr>
              <w:t>DCF/</w:t>
            </w:r>
            <w:r w:rsidRPr="004E4528">
              <w:rPr>
                <w:rFonts w:ascii="Arial Narrow" w:hAnsi="Arial Narrow"/>
                <w:sz w:val="24"/>
                <w:szCs w:val="24"/>
              </w:rPr>
              <w:t>other health rules may independently apply.</w:t>
            </w:r>
          </w:p>
        </w:tc>
        <w:tc>
          <w:tcPr>
            <w:tcW w:w="938" w:type="pct"/>
          </w:tcPr>
          <w:p w14:paraId="1E5A6C7A" w14:textId="7E51F557" w:rsidR="00EE3430" w:rsidRPr="004E4528" w:rsidRDefault="0023587D" w:rsidP="00D06986">
            <w:pPr>
              <w:spacing w:line="228" w:lineRule="auto"/>
              <w:rPr>
                <w:rFonts w:ascii="Arial Narrow" w:hAnsi="Arial Narrow"/>
                <w:sz w:val="24"/>
                <w:szCs w:val="24"/>
              </w:rPr>
            </w:pPr>
            <w:r w:rsidRPr="004E4528">
              <w:rPr>
                <w:rFonts w:ascii="Arial Narrow" w:hAnsi="Arial Narrow"/>
                <w:sz w:val="24"/>
                <w:szCs w:val="24"/>
              </w:rPr>
              <w:t>F.S. §402.305 (health standards for child care facilities); Ch. 65C</w:t>
            </w:r>
            <w:r w:rsidRPr="004E4528">
              <w:rPr>
                <w:rFonts w:ascii="Cambria Math" w:hAnsi="Cambria Math" w:cs="Cambria Math"/>
                <w:sz w:val="24"/>
                <w:szCs w:val="24"/>
              </w:rPr>
              <w:t>‑</w:t>
            </w:r>
            <w:r w:rsidRPr="004E4528">
              <w:rPr>
                <w:rFonts w:ascii="Arial Narrow" w:hAnsi="Arial Narrow"/>
                <w:sz w:val="24"/>
                <w:szCs w:val="24"/>
              </w:rPr>
              <w:t>22, F.A.C. (health, immunizations, illness policies); DCF Licensing Handbooks (health documentation, exclusion, follow</w:t>
            </w:r>
            <w:r w:rsidRPr="004E4528">
              <w:rPr>
                <w:rFonts w:ascii="Cambria Math" w:hAnsi="Cambria Math" w:cs="Cambria Math"/>
                <w:sz w:val="24"/>
                <w:szCs w:val="24"/>
              </w:rPr>
              <w:t>‑</w:t>
            </w:r>
            <w:r w:rsidRPr="004E4528">
              <w:rPr>
                <w:rFonts w:ascii="Arial Narrow" w:hAnsi="Arial Narrow"/>
                <w:sz w:val="24"/>
                <w:szCs w:val="24"/>
              </w:rPr>
              <w:t>up). No SR rule with Head Start</w:t>
            </w:r>
            <w:r w:rsidRPr="004E4528">
              <w:rPr>
                <w:rFonts w:ascii="Cambria Math" w:hAnsi="Cambria Math" w:cs="Cambria Math"/>
                <w:sz w:val="24"/>
                <w:szCs w:val="24"/>
              </w:rPr>
              <w:t>‑</w:t>
            </w:r>
            <w:r w:rsidRPr="004E4528">
              <w:rPr>
                <w:rFonts w:ascii="Arial Narrow" w:hAnsi="Arial Narrow"/>
                <w:sz w:val="24"/>
                <w:szCs w:val="24"/>
              </w:rPr>
              <w:t>style health timelines.</w:t>
            </w:r>
          </w:p>
        </w:tc>
        <w:tc>
          <w:tcPr>
            <w:tcW w:w="679" w:type="pct"/>
            <w:shd w:val="clear" w:color="auto" w:fill="E2F0D9"/>
          </w:tcPr>
          <w:p w14:paraId="160FB3A6" w14:textId="4A5E4A6F"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736BA1F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Review each current health timeline separately before changing it. Some may remain because of the Act, EPSDT, licensing, state law or Program policy even if HSPPS wording disappears.</w:t>
            </w:r>
          </w:p>
        </w:tc>
        <w:tc>
          <w:tcPr>
            <w:tcW w:w="310" w:type="pct"/>
            <w:shd w:val="clear" w:color="auto" w:fill="F4CCCC"/>
          </w:tcPr>
          <w:p w14:paraId="0331AFEB"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3AF011D7" w14:textId="77777777" w:rsidTr="005056A3">
        <w:trPr>
          <w:cantSplit/>
        </w:trPr>
        <w:tc>
          <w:tcPr>
            <w:tcW w:w="456" w:type="pct"/>
          </w:tcPr>
          <w:p w14:paraId="57AF54B7"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Medical/dental home &amp; access to care</w:t>
            </w:r>
          </w:p>
        </w:tc>
        <w:tc>
          <w:tcPr>
            <w:tcW w:w="648" w:type="pct"/>
          </w:tcPr>
          <w:p w14:paraId="7C51D22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includes detailed obligations to determine status and assist families with health care access.</w:t>
            </w:r>
          </w:p>
        </w:tc>
        <w:tc>
          <w:tcPr>
            <w:tcW w:w="552" w:type="pct"/>
          </w:tcPr>
          <w:p w14:paraId="69F94FE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Detailed federal navigation/access requirements are reduced or removed.</w:t>
            </w:r>
          </w:p>
        </w:tc>
        <w:tc>
          <w:tcPr>
            <w:tcW w:w="531" w:type="pct"/>
          </w:tcPr>
          <w:p w14:paraId="1C7A5FD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continues to require comprehensive health services and family support.</w:t>
            </w:r>
          </w:p>
        </w:tc>
        <w:tc>
          <w:tcPr>
            <w:tcW w:w="938" w:type="pct"/>
          </w:tcPr>
          <w:p w14:paraId="003EC478" w14:textId="4DAC4B93" w:rsidR="00EE3430" w:rsidRPr="004E4528" w:rsidRDefault="0023587D" w:rsidP="00D06986">
            <w:pPr>
              <w:spacing w:line="228" w:lineRule="auto"/>
              <w:rPr>
                <w:rFonts w:ascii="Arial Narrow" w:hAnsi="Arial Narrow"/>
                <w:sz w:val="24"/>
                <w:szCs w:val="24"/>
              </w:rPr>
            </w:pPr>
            <w:r w:rsidRPr="004E4528">
              <w:rPr>
                <w:rFonts w:ascii="Arial Narrow" w:hAnsi="Arial Narrow"/>
                <w:sz w:val="24"/>
                <w:szCs w:val="24"/>
              </w:rPr>
              <w:t>Licensing and SR rules require health records and immunizations (F.S. §402.305; 65C</w:t>
            </w:r>
            <w:r w:rsidRPr="004E4528">
              <w:rPr>
                <w:rFonts w:ascii="Cambria Math" w:hAnsi="Cambria Math" w:cs="Cambria Math"/>
                <w:sz w:val="24"/>
                <w:szCs w:val="24"/>
              </w:rPr>
              <w:t>‑</w:t>
            </w:r>
            <w:r w:rsidRPr="004E4528">
              <w:rPr>
                <w:rFonts w:ascii="Arial Narrow" w:hAnsi="Arial Narrow"/>
                <w:sz w:val="24"/>
                <w:szCs w:val="24"/>
              </w:rPr>
              <w:t>22.001, F.A.C.), but there is no explicit requirement to establish a “medical/dental home” or provide navigation services equivalent to HSPPS.</w:t>
            </w:r>
          </w:p>
        </w:tc>
        <w:tc>
          <w:tcPr>
            <w:tcW w:w="679" w:type="pct"/>
            <w:shd w:val="clear" w:color="auto" w:fill="E2F0D9"/>
          </w:tcPr>
          <w:p w14:paraId="1DBC045E" w14:textId="120FB92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5100394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may have more discretion in how it supports medical/dental access, but should not assume the outcome requirement disappears.</w:t>
            </w:r>
          </w:p>
        </w:tc>
        <w:tc>
          <w:tcPr>
            <w:tcW w:w="310" w:type="pct"/>
            <w:shd w:val="clear" w:color="auto" w:fill="F4CCCC"/>
          </w:tcPr>
          <w:p w14:paraId="10A23C4D"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65995291" w14:textId="77777777" w:rsidTr="005056A3">
        <w:trPr>
          <w:cantSplit/>
        </w:trPr>
        <w:tc>
          <w:tcPr>
            <w:tcW w:w="456" w:type="pct"/>
          </w:tcPr>
          <w:p w14:paraId="26E943F7"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Daily toothbrushing</w:t>
            </w:r>
          </w:p>
        </w:tc>
        <w:tc>
          <w:tcPr>
            <w:tcW w:w="648" w:type="pct"/>
          </w:tcPr>
          <w:p w14:paraId="5DE132E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requires programs to assist children with daily toothbrushing.</w:t>
            </w:r>
          </w:p>
        </w:tc>
        <w:tc>
          <w:tcPr>
            <w:tcW w:w="552" w:type="pct"/>
          </w:tcPr>
          <w:p w14:paraId="236B598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Specific federal daily toothbrushing requirement is removed.</w:t>
            </w:r>
          </w:p>
        </w:tc>
        <w:tc>
          <w:tcPr>
            <w:tcW w:w="531" w:type="pct"/>
          </w:tcPr>
          <w:p w14:paraId="685783E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Broader oral-health/health responsibilities remain.</w:t>
            </w:r>
          </w:p>
        </w:tc>
        <w:tc>
          <w:tcPr>
            <w:tcW w:w="938" w:type="pct"/>
          </w:tcPr>
          <w:p w14:paraId="46645461" w14:textId="0787BF0D" w:rsidR="00EE3430" w:rsidRPr="004E4528" w:rsidRDefault="0023587D" w:rsidP="00D06986">
            <w:pPr>
              <w:spacing w:line="228" w:lineRule="auto"/>
              <w:rPr>
                <w:rFonts w:ascii="Arial Narrow" w:hAnsi="Arial Narrow"/>
                <w:sz w:val="24"/>
                <w:szCs w:val="24"/>
              </w:rPr>
            </w:pPr>
            <w:r w:rsidRPr="004E4528">
              <w:rPr>
                <w:rFonts w:ascii="Arial Narrow" w:hAnsi="Arial Narrow"/>
                <w:sz w:val="24"/>
                <w:szCs w:val="24"/>
              </w:rPr>
              <w:t>No Florida licensing or SR statute requiring daily toothbrushing in child care settings. Oral health may be addressed in health education and CACFP guidance but not as a mandated daily practice.</w:t>
            </w:r>
          </w:p>
        </w:tc>
        <w:tc>
          <w:tcPr>
            <w:tcW w:w="679" w:type="pct"/>
            <w:shd w:val="clear" w:color="auto" w:fill="FFF2CC"/>
          </w:tcPr>
          <w:p w14:paraId="006C6DFF" w14:textId="0A1AEF8B"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5AC475C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Could remain as a Program health practice, but would no longer be required by this specific HSPPS provision if finalized.</w:t>
            </w:r>
          </w:p>
        </w:tc>
        <w:tc>
          <w:tcPr>
            <w:tcW w:w="310" w:type="pct"/>
            <w:shd w:val="clear" w:color="auto" w:fill="FFF2CC"/>
          </w:tcPr>
          <w:p w14:paraId="3DE7183B"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01BB0CB6" w14:textId="77777777" w:rsidTr="005056A3">
        <w:trPr>
          <w:cantSplit/>
        </w:trPr>
        <w:tc>
          <w:tcPr>
            <w:tcW w:w="456" w:type="pct"/>
          </w:tcPr>
          <w:p w14:paraId="46017B4A"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Health &amp; Mental Health Services Advisory Committee</w:t>
            </w:r>
          </w:p>
        </w:tc>
        <w:tc>
          <w:tcPr>
            <w:tcW w:w="648" w:type="pct"/>
          </w:tcPr>
          <w:p w14:paraId="41E38DF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requires the advisory committee.</w:t>
            </w:r>
          </w:p>
        </w:tc>
        <w:tc>
          <w:tcPr>
            <w:tcW w:w="552" w:type="pct"/>
          </w:tcPr>
          <w:p w14:paraId="51CA0C8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Requirement is removed.</w:t>
            </w:r>
          </w:p>
        </w:tc>
        <w:tc>
          <w:tcPr>
            <w:tcW w:w="531" w:type="pct"/>
          </w:tcPr>
          <w:p w14:paraId="4F4F820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NPRM does not identify an equivalent Act mandate.</w:t>
            </w:r>
          </w:p>
        </w:tc>
        <w:tc>
          <w:tcPr>
            <w:tcW w:w="938" w:type="pct"/>
          </w:tcPr>
          <w:p w14:paraId="6532BA82" w14:textId="0FA57EE6" w:rsidR="00EE3430" w:rsidRPr="004E4528" w:rsidRDefault="00C41826" w:rsidP="00D06986">
            <w:pPr>
              <w:spacing w:line="228" w:lineRule="auto"/>
              <w:rPr>
                <w:rFonts w:ascii="Arial Narrow" w:hAnsi="Arial Narrow"/>
                <w:sz w:val="24"/>
                <w:szCs w:val="24"/>
              </w:rPr>
            </w:pPr>
            <w:r w:rsidRPr="004E4528">
              <w:rPr>
                <w:rFonts w:ascii="Arial Narrow" w:hAnsi="Arial Narrow"/>
                <w:sz w:val="24"/>
                <w:szCs w:val="24"/>
              </w:rPr>
              <w:t>No Florida requirement for a formal health/mental health advisory committee for SR providers. Advisory structures are local/contractual rather than statutory.</w:t>
            </w:r>
          </w:p>
        </w:tc>
        <w:tc>
          <w:tcPr>
            <w:tcW w:w="679" w:type="pct"/>
            <w:shd w:val="clear" w:color="auto" w:fill="FFF2CC"/>
          </w:tcPr>
          <w:p w14:paraId="383CA229" w14:textId="2234F89F"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0925C14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could decide whether the committee remains useful for community input, health planning and compliance support.</w:t>
            </w:r>
          </w:p>
        </w:tc>
        <w:tc>
          <w:tcPr>
            <w:tcW w:w="310" w:type="pct"/>
            <w:shd w:val="clear" w:color="auto" w:fill="FFF2CC"/>
          </w:tcPr>
          <w:p w14:paraId="0874BE74"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4AC45035" w14:textId="77777777" w:rsidTr="005056A3">
        <w:trPr>
          <w:cantSplit/>
        </w:trPr>
        <w:tc>
          <w:tcPr>
            <w:tcW w:w="456" w:type="pct"/>
          </w:tcPr>
          <w:p w14:paraId="7FE347CD"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Advance authorization for procedures</w:t>
            </w:r>
          </w:p>
        </w:tc>
        <w:tc>
          <w:tcPr>
            <w:tcW w:w="648" w:type="pct"/>
          </w:tcPr>
          <w:p w14:paraId="4D4691B0"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regulations contain advance authorization requirements for certain health, mental health and developmental procedures.</w:t>
            </w:r>
          </w:p>
        </w:tc>
        <w:tc>
          <w:tcPr>
            <w:tcW w:w="552" w:type="pct"/>
          </w:tcPr>
          <w:p w14:paraId="274FF46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Prescriptive federal requirement is proposed for removal.</w:t>
            </w:r>
          </w:p>
        </w:tc>
        <w:tc>
          <w:tcPr>
            <w:tcW w:w="531" w:type="pct"/>
          </w:tcPr>
          <w:p w14:paraId="41605A6E"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Other parent consent, privacy, licensing, health and state-law requirements may continue.</w:t>
            </w:r>
          </w:p>
        </w:tc>
        <w:tc>
          <w:tcPr>
            <w:tcW w:w="938" w:type="pct"/>
          </w:tcPr>
          <w:p w14:paraId="478C14D0" w14:textId="67883CDD" w:rsidR="00EE3430" w:rsidRPr="004E4528" w:rsidRDefault="00C41826" w:rsidP="00D06986">
            <w:pPr>
              <w:spacing w:line="228" w:lineRule="auto"/>
              <w:rPr>
                <w:rFonts w:ascii="Arial Narrow" w:hAnsi="Arial Narrow"/>
                <w:sz w:val="24"/>
                <w:szCs w:val="24"/>
              </w:rPr>
            </w:pPr>
            <w:r w:rsidRPr="004E4528">
              <w:rPr>
                <w:rFonts w:ascii="Arial Narrow" w:hAnsi="Arial Narrow"/>
                <w:sz w:val="24"/>
                <w:szCs w:val="24"/>
              </w:rPr>
              <w:t>Parent consent and authorization requirements are embedded in licensing and health rules (F.S. §402.305; 65C</w:t>
            </w:r>
            <w:r w:rsidRPr="004E4528">
              <w:rPr>
                <w:rFonts w:ascii="Cambria Math" w:hAnsi="Cambria Math" w:cs="Cambria Math"/>
                <w:sz w:val="24"/>
                <w:szCs w:val="24"/>
              </w:rPr>
              <w:t>‑</w:t>
            </w:r>
            <w:r w:rsidRPr="004E4528">
              <w:rPr>
                <w:rFonts w:ascii="Arial Narrow" w:hAnsi="Arial Narrow"/>
                <w:sz w:val="24"/>
                <w:szCs w:val="24"/>
              </w:rPr>
              <w:t>22.001, F.A.C.; DCF Handbooks) and in general health/privacy law, but there is no SR</w:t>
            </w:r>
            <w:r w:rsidRPr="004E4528">
              <w:rPr>
                <w:rFonts w:ascii="Cambria Math" w:hAnsi="Cambria Math" w:cs="Cambria Math"/>
                <w:sz w:val="24"/>
                <w:szCs w:val="24"/>
              </w:rPr>
              <w:t>‑</w:t>
            </w:r>
            <w:r w:rsidRPr="004E4528">
              <w:rPr>
                <w:rFonts w:ascii="Arial Narrow" w:hAnsi="Arial Narrow"/>
                <w:sz w:val="24"/>
                <w:szCs w:val="24"/>
              </w:rPr>
              <w:t>specific analog to HSPPS advance authorization language.</w:t>
            </w:r>
          </w:p>
        </w:tc>
        <w:tc>
          <w:tcPr>
            <w:tcW w:w="679" w:type="pct"/>
            <w:shd w:val="clear" w:color="auto" w:fill="FFF2CC"/>
          </w:tcPr>
          <w:p w14:paraId="2879F239" w14:textId="285B099A"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694E3A63" w14:textId="351A5DEA"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Do not eliminate consent practices without a separate Florida/federal legal review.</w:t>
            </w:r>
          </w:p>
        </w:tc>
        <w:tc>
          <w:tcPr>
            <w:tcW w:w="310" w:type="pct"/>
            <w:shd w:val="clear" w:color="auto" w:fill="F4CCCC"/>
          </w:tcPr>
          <w:p w14:paraId="7922E551"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68819F58" w14:textId="77777777" w:rsidTr="005056A3">
        <w:trPr>
          <w:cantSplit/>
        </w:trPr>
        <w:tc>
          <w:tcPr>
            <w:tcW w:w="456" w:type="pct"/>
          </w:tcPr>
          <w:p w14:paraId="6845DDCA"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Mental health consultation frequency</w:t>
            </w:r>
          </w:p>
        </w:tc>
        <w:tc>
          <w:tcPr>
            <w:tcW w:w="648" w:type="pct"/>
          </w:tcPr>
          <w:p w14:paraId="5B5A74B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standards require ongoing mental health consultation, including at least monthly under 2024 changes.</w:t>
            </w:r>
          </w:p>
        </w:tc>
        <w:tc>
          <w:tcPr>
            <w:tcW w:w="552" w:type="pct"/>
          </w:tcPr>
          <w:p w14:paraId="383D2EC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Monthly federal frequency requirement is removed.</w:t>
            </w:r>
          </w:p>
        </w:tc>
        <w:tc>
          <w:tcPr>
            <w:tcW w:w="531" w:type="pct"/>
          </w:tcPr>
          <w:p w14:paraId="1E388A5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Mental health remains part of comprehensive Head Start services.</w:t>
            </w:r>
          </w:p>
        </w:tc>
        <w:tc>
          <w:tcPr>
            <w:tcW w:w="938" w:type="pct"/>
          </w:tcPr>
          <w:p w14:paraId="2C882033" w14:textId="08142E03" w:rsidR="00EE3430" w:rsidRPr="004E4528" w:rsidRDefault="00C41826" w:rsidP="00D06986">
            <w:pPr>
              <w:spacing w:line="228" w:lineRule="auto"/>
              <w:rPr>
                <w:rFonts w:ascii="Arial Narrow" w:hAnsi="Arial Narrow"/>
                <w:sz w:val="24"/>
                <w:szCs w:val="24"/>
              </w:rPr>
            </w:pPr>
            <w:r w:rsidRPr="004E4528">
              <w:rPr>
                <w:rFonts w:ascii="Arial Narrow" w:hAnsi="Arial Narrow"/>
                <w:sz w:val="24"/>
                <w:szCs w:val="24"/>
              </w:rPr>
              <w:t>Mental health supports are part of comprehensive services in Head Start; Florida SR/CCDF does not prescribe consultation frequency. Any mental health consultation expectations are contractual or program</w:t>
            </w:r>
            <w:r w:rsidRPr="004E4528">
              <w:rPr>
                <w:rFonts w:ascii="Cambria Math" w:hAnsi="Cambria Math" w:cs="Cambria Math"/>
                <w:sz w:val="24"/>
                <w:szCs w:val="24"/>
              </w:rPr>
              <w:t>‑</w:t>
            </w:r>
            <w:r w:rsidRPr="004E4528">
              <w:rPr>
                <w:rFonts w:ascii="Arial Narrow" w:hAnsi="Arial Narrow"/>
                <w:sz w:val="24"/>
                <w:szCs w:val="24"/>
              </w:rPr>
              <w:t>level.</w:t>
            </w:r>
          </w:p>
        </w:tc>
        <w:tc>
          <w:tcPr>
            <w:tcW w:w="679" w:type="pct"/>
            <w:shd w:val="clear" w:color="auto" w:fill="FFF2CC"/>
          </w:tcPr>
          <w:p w14:paraId="7A211E92" w14:textId="6404F06B"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639ED2D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could determine consultation frequency based on program need while ensuring sufficient mental health support.</w:t>
            </w:r>
          </w:p>
        </w:tc>
        <w:tc>
          <w:tcPr>
            <w:tcW w:w="310" w:type="pct"/>
            <w:shd w:val="clear" w:color="auto" w:fill="F4CCCC"/>
          </w:tcPr>
          <w:p w14:paraId="5F0BF34C"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12815A2C" w14:textId="77777777" w:rsidTr="005056A3">
        <w:trPr>
          <w:cantSplit/>
        </w:trPr>
        <w:tc>
          <w:tcPr>
            <w:tcW w:w="456" w:type="pct"/>
          </w:tcPr>
          <w:p w14:paraId="4FCAF305"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Nutrition services - overall</w:t>
            </w:r>
          </w:p>
        </w:tc>
        <w:tc>
          <w:tcPr>
            <w:tcW w:w="648" w:type="pct"/>
          </w:tcPr>
          <w:p w14:paraId="37D9F0E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§1302.44 contains detailed nutrition requirements.</w:t>
            </w:r>
          </w:p>
        </w:tc>
        <w:tc>
          <w:tcPr>
            <w:tcW w:w="552" w:type="pct"/>
          </w:tcPr>
          <w:p w14:paraId="3EFC22A4"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Many detailed provisions are removed as overly prescriptive or duplicative.</w:t>
            </w:r>
          </w:p>
        </w:tc>
        <w:tc>
          <w:tcPr>
            <w:tcW w:w="531" w:type="pct"/>
          </w:tcPr>
          <w:p w14:paraId="69C9BB0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Nutrition remains a core Head Start service; CACFP/USDA requirements continue independently.</w:t>
            </w:r>
          </w:p>
        </w:tc>
        <w:tc>
          <w:tcPr>
            <w:tcW w:w="938" w:type="pct"/>
          </w:tcPr>
          <w:p w14:paraId="25CD1D93" w14:textId="49796F3E" w:rsidR="00EE3430" w:rsidRPr="004E4528" w:rsidRDefault="00283DA9" w:rsidP="00D06986">
            <w:pPr>
              <w:spacing w:line="228" w:lineRule="auto"/>
              <w:rPr>
                <w:rFonts w:ascii="Arial Narrow" w:hAnsi="Arial Narrow"/>
                <w:sz w:val="24"/>
                <w:szCs w:val="24"/>
              </w:rPr>
            </w:pPr>
            <w:r w:rsidRPr="004E4528">
              <w:rPr>
                <w:rFonts w:ascii="Arial Narrow" w:hAnsi="Arial Narrow"/>
                <w:sz w:val="24"/>
                <w:szCs w:val="24"/>
              </w:rPr>
              <w:t>CACFP/USDA requirements (federal); F.S. §402.305 (nutrition and food service standards); Rule 65C</w:t>
            </w:r>
            <w:r w:rsidRPr="004E4528">
              <w:rPr>
                <w:rFonts w:ascii="Cambria Math" w:hAnsi="Cambria Math" w:cs="Cambria Math"/>
                <w:sz w:val="24"/>
                <w:szCs w:val="24"/>
              </w:rPr>
              <w:t>‑</w:t>
            </w:r>
            <w:r w:rsidRPr="004E4528">
              <w:rPr>
                <w:rFonts w:ascii="Arial Narrow" w:hAnsi="Arial Narrow"/>
                <w:sz w:val="24"/>
                <w:szCs w:val="24"/>
              </w:rPr>
              <w:t>22.001, F.A.C. (meals, snacks, food safety). SR rules reference health and safety but do not fully mirror HSPPS §1302.44.</w:t>
            </w:r>
          </w:p>
        </w:tc>
        <w:tc>
          <w:tcPr>
            <w:tcW w:w="679" w:type="pct"/>
            <w:shd w:val="clear" w:color="auto" w:fill="E2F0D9"/>
          </w:tcPr>
          <w:p w14:paraId="7B19DAE1" w14:textId="491E2DBA"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29EEDEEE"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Continue robust nutrition/CACFP systems; identify which current practices are CACFP, Act, licensing or local requirements before simplifying.</w:t>
            </w:r>
          </w:p>
        </w:tc>
        <w:tc>
          <w:tcPr>
            <w:tcW w:w="310" w:type="pct"/>
            <w:shd w:val="clear" w:color="auto" w:fill="F4CCCC"/>
          </w:tcPr>
          <w:p w14:paraId="4BEB073C"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09F09D06" w14:textId="77777777" w:rsidTr="005056A3">
        <w:trPr>
          <w:cantSplit/>
        </w:trPr>
        <w:tc>
          <w:tcPr>
            <w:tcW w:w="456" w:type="pct"/>
          </w:tcPr>
          <w:p w14:paraId="076D0781"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Nutrient-dense whole foods</w:t>
            </w:r>
          </w:p>
        </w:tc>
        <w:tc>
          <w:tcPr>
            <w:tcW w:w="648" w:type="pct"/>
          </w:tcPr>
          <w:p w14:paraId="7CC5983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does not frame the requirement this specifically.</w:t>
            </w:r>
          </w:p>
        </w:tc>
        <w:tc>
          <w:tcPr>
            <w:tcW w:w="552" w:type="pct"/>
          </w:tcPr>
          <w:p w14:paraId="436D19D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New explicit requirement to serve nutrient-dense whole foods compatible with a healthy and nutritious diet.</w:t>
            </w:r>
          </w:p>
        </w:tc>
        <w:tc>
          <w:tcPr>
            <w:tcW w:w="531" w:type="pct"/>
          </w:tcPr>
          <w:p w14:paraId="4B865A2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Consistent with the Act's nutrition purpose and CACFP framework.</w:t>
            </w:r>
          </w:p>
        </w:tc>
        <w:tc>
          <w:tcPr>
            <w:tcW w:w="938" w:type="pct"/>
          </w:tcPr>
          <w:p w14:paraId="3465EF67" w14:textId="3D182AD4" w:rsidR="00EE3430" w:rsidRPr="004E4528" w:rsidRDefault="00283DA9" w:rsidP="00D06986">
            <w:pPr>
              <w:spacing w:line="228" w:lineRule="auto"/>
              <w:rPr>
                <w:rFonts w:ascii="Arial Narrow" w:hAnsi="Arial Narrow"/>
                <w:sz w:val="24"/>
                <w:szCs w:val="24"/>
              </w:rPr>
            </w:pPr>
            <w:r w:rsidRPr="004E4528">
              <w:rPr>
                <w:rFonts w:ascii="Arial Narrow" w:hAnsi="Arial Narrow"/>
                <w:sz w:val="24"/>
                <w:szCs w:val="24"/>
              </w:rPr>
              <w:t>CACFP regulations govern meal patterns and nutritional quality; Florida licensing (65C</w:t>
            </w:r>
            <w:r w:rsidRPr="004E4528">
              <w:rPr>
                <w:rFonts w:ascii="Cambria Math" w:hAnsi="Cambria Math" w:cs="Cambria Math"/>
                <w:sz w:val="24"/>
                <w:szCs w:val="24"/>
              </w:rPr>
              <w:t>‑</w:t>
            </w:r>
            <w:r w:rsidRPr="004E4528">
              <w:rPr>
                <w:rFonts w:ascii="Arial Narrow" w:hAnsi="Arial Narrow"/>
                <w:sz w:val="24"/>
                <w:szCs w:val="24"/>
              </w:rPr>
              <w:t>22.001, F.A.C.) addresses food safety and appropriateness. No Florida statute uses “nutrient</w:t>
            </w:r>
            <w:r w:rsidRPr="004E4528">
              <w:rPr>
                <w:rFonts w:ascii="Cambria Math" w:hAnsi="Cambria Math" w:cs="Cambria Math"/>
                <w:sz w:val="24"/>
                <w:szCs w:val="24"/>
              </w:rPr>
              <w:t>‑</w:t>
            </w:r>
            <w:r w:rsidRPr="004E4528">
              <w:rPr>
                <w:rFonts w:ascii="Arial Narrow" w:hAnsi="Arial Narrow"/>
                <w:sz w:val="24"/>
                <w:szCs w:val="24"/>
              </w:rPr>
              <w:t>dense whole foods” language.</w:t>
            </w:r>
          </w:p>
        </w:tc>
        <w:tc>
          <w:tcPr>
            <w:tcW w:w="679" w:type="pct"/>
            <w:shd w:val="clear" w:color="auto" w:fill="FCE4D6"/>
          </w:tcPr>
          <w:p w14:paraId="7C3D5159" w14:textId="4D864DDD"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5766B29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Review menus, procurement/vendor practices and nutrition education for alignment.</w:t>
            </w:r>
          </w:p>
        </w:tc>
        <w:tc>
          <w:tcPr>
            <w:tcW w:w="310" w:type="pct"/>
            <w:shd w:val="clear" w:color="auto" w:fill="F4CCCC"/>
          </w:tcPr>
          <w:p w14:paraId="19DE8DBF"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63104800" w14:textId="77777777" w:rsidTr="005056A3">
        <w:trPr>
          <w:cantSplit/>
        </w:trPr>
        <w:tc>
          <w:tcPr>
            <w:tcW w:w="456" w:type="pct"/>
          </w:tcPr>
          <w:p w14:paraId="6EC4B157"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Breastmilk opportunity</w:t>
            </w:r>
          </w:p>
        </w:tc>
        <w:tc>
          <w:tcPr>
            <w:tcW w:w="648" w:type="pct"/>
          </w:tcPr>
          <w:p w14:paraId="0AD43F5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standards include infant feeding/lactation supports.</w:t>
            </w:r>
          </w:p>
        </w:tc>
        <w:tc>
          <w:tcPr>
            <w:tcW w:w="552" w:type="pct"/>
          </w:tcPr>
          <w:p w14:paraId="0B8F5D8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rule specifically includes an opportunity for infants to receive breastmilk during the day.</w:t>
            </w:r>
          </w:p>
        </w:tc>
        <w:tc>
          <w:tcPr>
            <w:tcW w:w="531" w:type="pct"/>
          </w:tcPr>
          <w:p w14:paraId="1602D05E"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EHS nutrition and health responsibilities continue.</w:t>
            </w:r>
          </w:p>
        </w:tc>
        <w:tc>
          <w:tcPr>
            <w:tcW w:w="938" w:type="pct"/>
          </w:tcPr>
          <w:p w14:paraId="071EB057" w14:textId="79F51A01" w:rsidR="00EE3430" w:rsidRPr="004E4528" w:rsidRDefault="00283DA9" w:rsidP="00D06986">
            <w:pPr>
              <w:spacing w:line="228" w:lineRule="auto"/>
              <w:rPr>
                <w:rFonts w:ascii="Arial Narrow" w:hAnsi="Arial Narrow"/>
                <w:sz w:val="24"/>
                <w:szCs w:val="24"/>
              </w:rPr>
            </w:pPr>
            <w:r w:rsidRPr="004E4528">
              <w:rPr>
                <w:rFonts w:ascii="Arial Narrow" w:hAnsi="Arial Narrow"/>
                <w:sz w:val="24"/>
                <w:szCs w:val="24"/>
              </w:rPr>
              <w:t>Licensing and health rules address infant feeding and storage of breastmilk (65C</w:t>
            </w:r>
            <w:r w:rsidRPr="004E4528">
              <w:rPr>
                <w:rFonts w:ascii="Cambria Math" w:hAnsi="Cambria Math" w:cs="Cambria Math"/>
                <w:sz w:val="24"/>
                <w:szCs w:val="24"/>
              </w:rPr>
              <w:t>‑</w:t>
            </w:r>
            <w:r w:rsidRPr="004E4528">
              <w:rPr>
                <w:rFonts w:ascii="Arial Narrow" w:hAnsi="Arial Narrow"/>
                <w:sz w:val="24"/>
                <w:szCs w:val="24"/>
              </w:rPr>
              <w:t>22.001, F.A.C.; DCF Handbooks). There is no SR statute explicitly requiring an “opportunity to receive breastmilk during the day,” though practice is supported.</w:t>
            </w:r>
          </w:p>
        </w:tc>
        <w:tc>
          <w:tcPr>
            <w:tcW w:w="679" w:type="pct"/>
            <w:shd w:val="clear" w:color="auto" w:fill="DDEBF7"/>
          </w:tcPr>
          <w:p w14:paraId="050069F6" w14:textId="7210BC8F"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MOSTLY CONTINUES</w:t>
            </w:r>
          </w:p>
        </w:tc>
        <w:tc>
          <w:tcPr>
            <w:tcW w:w="886" w:type="pct"/>
          </w:tcPr>
          <w:p w14:paraId="7BEDC49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Retain lactation and infant-feeding supports and confirm operational alignment.</w:t>
            </w:r>
          </w:p>
        </w:tc>
        <w:tc>
          <w:tcPr>
            <w:tcW w:w="310" w:type="pct"/>
            <w:shd w:val="clear" w:color="auto" w:fill="FFF2CC"/>
          </w:tcPr>
          <w:p w14:paraId="6B9C37A9"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35D41F84" w14:textId="77777777" w:rsidTr="005056A3">
        <w:trPr>
          <w:cantSplit/>
        </w:trPr>
        <w:tc>
          <w:tcPr>
            <w:tcW w:w="456" w:type="pct"/>
          </w:tcPr>
          <w:p w14:paraId="02A720B7"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Parent nutrition education</w:t>
            </w:r>
          </w:p>
        </w:tc>
        <w:tc>
          <w:tcPr>
            <w:tcW w:w="648" w:type="pct"/>
          </w:tcPr>
          <w:p w14:paraId="609EB17E"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contains broad health/nutrition family education requirements.</w:t>
            </w:r>
          </w:p>
        </w:tc>
        <w:tc>
          <w:tcPr>
            <w:tcW w:w="552" w:type="pct"/>
          </w:tcPr>
          <w:p w14:paraId="430C24A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rule specifically calls for parent discussion of physical activity, healthy eating, sugar-sweetened beverages and grain-based desserts.</w:t>
            </w:r>
          </w:p>
        </w:tc>
        <w:tc>
          <w:tcPr>
            <w:tcW w:w="531" w:type="pct"/>
          </w:tcPr>
          <w:p w14:paraId="43E6675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Parent health education remains consistent with statutory comprehensive services.</w:t>
            </w:r>
          </w:p>
        </w:tc>
        <w:tc>
          <w:tcPr>
            <w:tcW w:w="938" w:type="pct"/>
          </w:tcPr>
          <w:p w14:paraId="6961C432" w14:textId="3C70ED94" w:rsidR="00EE3430" w:rsidRPr="004E4528" w:rsidRDefault="00027FB6" w:rsidP="00D06986">
            <w:pPr>
              <w:spacing w:line="228" w:lineRule="auto"/>
              <w:rPr>
                <w:rFonts w:ascii="Arial Narrow" w:hAnsi="Arial Narrow"/>
                <w:sz w:val="24"/>
                <w:szCs w:val="24"/>
              </w:rPr>
            </w:pPr>
            <w:r w:rsidRPr="004E4528">
              <w:rPr>
                <w:rFonts w:ascii="Arial Narrow" w:hAnsi="Arial Narrow"/>
                <w:sz w:val="24"/>
                <w:szCs w:val="24"/>
              </w:rPr>
              <w:t>F.S. §1002.92 (CCR&amp;R and consumer education); Rule 6M</w:t>
            </w:r>
            <w:r w:rsidRPr="004E4528">
              <w:rPr>
                <w:rFonts w:ascii="Cambria Math" w:hAnsi="Cambria Math" w:cs="Cambria Math"/>
                <w:sz w:val="24"/>
                <w:szCs w:val="24"/>
              </w:rPr>
              <w:t>‑</w:t>
            </w:r>
            <w:r w:rsidRPr="004E4528">
              <w:rPr>
                <w:rFonts w:ascii="Arial Narrow" w:hAnsi="Arial Narrow"/>
                <w:sz w:val="24"/>
                <w:szCs w:val="24"/>
              </w:rPr>
              <w:t>9.300, F.A.C. (consumer education). Nutrition education for parents is encouraged through CCR&amp;R and health promotion but not prescribed at the level of the NPRM’s specific topics.</w:t>
            </w:r>
          </w:p>
        </w:tc>
        <w:tc>
          <w:tcPr>
            <w:tcW w:w="679" w:type="pct"/>
            <w:shd w:val="clear" w:color="auto" w:fill="FCE4D6"/>
          </w:tcPr>
          <w:p w14:paraId="7917648C" w14:textId="0D4D4BCE"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117936F0"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Update parent nutrition education resources and Family Engagement/Nutrition plans if finalized.</w:t>
            </w:r>
          </w:p>
        </w:tc>
        <w:tc>
          <w:tcPr>
            <w:tcW w:w="310" w:type="pct"/>
            <w:shd w:val="clear" w:color="auto" w:fill="FFF2CC"/>
          </w:tcPr>
          <w:p w14:paraId="723D5433"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6436C0E5" w14:textId="77777777" w:rsidTr="005056A3">
        <w:trPr>
          <w:cantSplit/>
        </w:trPr>
        <w:tc>
          <w:tcPr>
            <w:tcW w:w="456" w:type="pct"/>
          </w:tcPr>
          <w:p w14:paraId="25C9CF84"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Physical activity</w:t>
            </w:r>
          </w:p>
        </w:tc>
        <w:tc>
          <w:tcPr>
            <w:tcW w:w="648" w:type="pct"/>
          </w:tcPr>
          <w:p w14:paraId="4A2AB62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standards address physical development/activity but not the same time formula.</w:t>
            </w:r>
          </w:p>
        </w:tc>
        <w:tc>
          <w:tcPr>
            <w:tcW w:w="552" w:type="pct"/>
          </w:tcPr>
          <w:p w14:paraId="639A964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New explicit minimum of 30 minutes of physical activity for every 3.5 hours of participation; outdoors when weather permits.</w:t>
            </w:r>
          </w:p>
        </w:tc>
        <w:tc>
          <w:tcPr>
            <w:tcW w:w="531" w:type="pct"/>
          </w:tcPr>
          <w:p w14:paraId="3C8551F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emphasizes physical development, health and outdoor activity.</w:t>
            </w:r>
          </w:p>
        </w:tc>
        <w:tc>
          <w:tcPr>
            <w:tcW w:w="938" w:type="pct"/>
          </w:tcPr>
          <w:p w14:paraId="4E74276F" w14:textId="19405CFD" w:rsidR="00EE3430" w:rsidRPr="004E4528" w:rsidRDefault="00027FB6" w:rsidP="00027FB6">
            <w:pPr>
              <w:spacing w:line="228" w:lineRule="auto"/>
              <w:rPr>
                <w:rFonts w:ascii="Arial Narrow" w:hAnsi="Arial Narrow"/>
                <w:sz w:val="24"/>
                <w:szCs w:val="24"/>
              </w:rPr>
            </w:pPr>
            <w:r w:rsidRPr="004E4528">
              <w:rPr>
                <w:rFonts w:ascii="Arial Narrow" w:hAnsi="Arial Narrow"/>
                <w:sz w:val="24"/>
                <w:szCs w:val="24"/>
              </w:rPr>
              <w:t>Licensing rules and standards support outdoor play and physical development (65C</w:t>
            </w:r>
            <w:r w:rsidRPr="004E4528">
              <w:rPr>
                <w:rFonts w:ascii="Cambria Math" w:hAnsi="Cambria Math" w:cs="Cambria Math"/>
                <w:sz w:val="24"/>
                <w:szCs w:val="24"/>
              </w:rPr>
              <w:t>‑</w:t>
            </w:r>
            <w:r w:rsidRPr="004E4528">
              <w:rPr>
                <w:rFonts w:ascii="Arial Narrow" w:hAnsi="Arial Narrow"/>
                <w:sz w:val="24"/>
                <w:szCs w:val="24"/>
              </w:rPr>
              <w:t>22.001, F.A.C.; DCF Handbooks), but there is no SR statute requiring “30 minutes of physical activity for every 3.5 hours” as a time</w:t>
            </w:r>
            <w:r w:rsidRPr="004E4528">
              <w:rPr>
                <w:rFonts w:ascii="Cambria Math" w:hAnsi="Cambria Math" w:cs="Cambria Math"/>
                <w:sz w:val="24"/>
                <w:szCs w:val="24"/>
              </w:rPr>
              <w:t>‑</w:t>
            </w:r>
            <w:r w:rsidRPr="004E4528">
              <w:rPr>
                <w:rFonts w:ascii="Arial Narrow" w:hAnsi="Arial Narrow"/>
                <w:sz w:val="24"/>
                <w:szCs w:val="24"/>
              </w:rPr>
              <w:t>based formula.</w:t>
            </w:r>
          </w:p>
        </w:tc>
        <w:tc>
          <w:tcPr>
            <w:tcW w:w="679" w:type="pct"/>
            <w:shd w:val="clear" w:color="auto" w:fill="FCE4D6"/>
          </w:tcPr>
          <w:p w14:paraId="61A6D8A2" w14:textId="5461FEAD"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58D19F82"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Review classroom schedules, lesson planning and monitoring tools to demonstrate compliance with the time-based requirement.</w:t>
            </w:r>
          </w:p>
        </w:tc>
        <w:tc>
          <w:tcPr>
            <w:tcW w:w="310" w:type="pct"/>
            <w:shd w:val="clear" w:color="auto" w:fill="F4CCCC"/>
          </w:tcPr>
          <w:p w14:paraId="7CE12433"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5DE391FE" w14:textId="77777777" w:rsidTr="005056A3">
        <w:trPr>
          <w:cantSplit/>
        </w:trPr>
        <w:tc>
          <w:tcPr>
            <w:tcW w:w="456" w:type="pct"/>
          </w:tcPr>
          <w:p w14:paraId="23930183"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Safety practices - §1302.47</w:t>
            </w:r>
          </w:p>
        </w:tc>
        <w:tc>
          <w:tcPr>
            <w:tcW w:w="648" w:type="pct"/>
          </w:tcPr>
          <w:p w14:paraId="59ADBCC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contains detailed federal standards for facilities, equipment, hygiene, training, emergency preparedness and safety procedures.</w:t>
            </w:r>
          </w:p>
        </w:tc>
        <w:tc>
          <w:tcPr>
            <w:tcW w:w="552" w:type="pct"/>
          </w:tcPr>
          <w:p w14:paraId="7930155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Many detailed federal requirements are removed; programs must be licensed and comply with applicable federal/state/local requirements. License-exempt programs must meet CCDF basic health and safety standards.</w:t>
            </w:r>
          </w:p>
        </w:tc>
        <w:tc>
          <w:tcPr>
            <w:tcW w:w="531" w:type="pct"/>
          </w:tcPr>
          <w:p w14:paraId="44B00F96" w14:textId="78D40E2E"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Florida DCF, child abuse reporting, building/fire, emergency preparedness and other safety laws continue; Head Start Act safety accountability remains.</w:t>
            </w:r>
          </w:p>
        </w:tc>
        <w:tc>
          <w:tcPr>
            <w:tcW w:w="938" w:type="pct"/>
          </w:tcPr>
          <w:p w14:paraId="0A79D11F" w14:textId="744BC5ED" w:rsidR="00EE3430" w:rsidRPr="004E4528" w:rsidRDefault="005E02EB" w:rsidP="00027FB6">
            <w:pPr>
              <w:spacing w:line="228" w:lineRule="auto"/>
              <w:rPr>
                <w:rFonts w:ascii="Arial Narrow" w:hAnsi="Arial Narrow"/>
                <w:sz w:val="24"/>
                <w:szCs w:val="24"/>
              </w:rPr>
            </w:pPr>
            <w:r w:rsidRPr="004E4528">
              <w:rPr>
                <w:rFonts w:ascii="Arial Narrow" w:hAnsi="Arial Narrow"/>
                <w:sz w:val="24"/>
                <w:szCs w:val="24"/>
              </w:rPr>
              <w:t>F.S. §402.305 (licensing standards for child care facilities); F.S. §402.311 (inspections and investigations); F.S. §402.3125 (health and safety standards handbook authority); Ch. 65C</w:t>
            </w:r>
            <w:r w:rsidRPr="004E4528">
              <w:rPr>
                <w:rFonts w:ascii="Arial Narrow" w:hAnsi="Arial Narrow"/>
                <w:sz w:val="24"/>
                <w:szCs w:val="24"/>
              </w:rPr>
              <w:noBreakHyphen/>
              <w:t>22, F.A.C. (Child Care Facility Rules) and DCF Licensing Handbooks (health, safety, emergency preparedness).</w:t>
            </w:r>
          </w:p>
        </w:tc>
        <w:tc>
          <w:tcPr>
            <w:tcW w:w="679" w:type="pct"/>
            <w:shd w:val="clear" w:color="auto" w:fill="FFF2CC"/>
          </w:tcPr>
          <w:p w14:paraId="3152CAEE" w14:textId="56D6D36D"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503FD358" w14:textId="1936749E"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Florida licensing becomes even more central. Program should map every current safety practice to DCF, federal law or agency policy before removing any requirement.</w:t>
            </w:r>
          </w:p>
        </w:tc>
        <w:tc>
          <w:tcPr>
            <w:tcW w:w="310" w:type="pct"/>
            <w:shd w:val="clear" w:color="auto" w:fill="F4CCCC"/>
          </w:tcPr>
          <w:p w14:paraId="3B9BAA5D"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10DA3E0D" w14:textId="77777777" w:rsidTr="005056A3">
        <w:trPr>
          <w:cantSplit/>
        </w:trPr>
        <w:tc>
          <w:tcPr>
            <w:tcW w:w="456" w:type="pct"/>
          </w:tcPr>
          <w:p w14:paraId="7E649FCD"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Lead exposure</w:t>
            </w:r>
          </w:p>
        </w:tc>
        <w:tc>
          <w:tcPr>
            <w:tcW w:w="648" w:type="pct"/>
          </w:tcPr>
          <w:p w14:paraId="75537634"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§1302.47(b)(9) addresses lead exposure.</w:t>
            </w:r>
          </w:p>
        </w:tc>
        <w:tc>
          <w:tcPr>
            <w:tcW w:w="552" w:type="pct"/>
          </w:tcPr>
          <w:p w14:paraId="1DEA971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§1301.09(b) retains prevention of child exposure to lead in facility water and paint with more flexibility in method.</w:t>
            </w:r>
          </w:p>
        </w:tc>
        <w:tc>
          <w:tcPr>
            <w:tcW w:w="531" w:type="pct"/>
          </w:tcPr>
          <w:p w14:paraId="4BB3EE8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Other federal/state requirements also apply.</w:t>
            </w:r>
          </w:p>
        </w:tc>
        <w:tc>
          <w:tcPr>
            <w:tcW w:w="938" w:type="pct"/>
          </w:tcPr>
          <w:p w14:paraId="627D74AD" w14:textId="2EEDC858" w:rsidR="00EE3430" w:rsidRPr="004E4528" w:rsidRDefault="00993719" w:rsidP="00993719">
            <w:pPr>
              <w:spacing w:line="228" w:lineRule="auto"/>
              <w:rPr>
                <w:rFonts w:ascii="Arial Narrow" w:hAnsi="Arial Narrow"/>
                <w:sz w:val="24"/>
                <w:szCs w:val="24"/>
              </w:rPr>
            </w:pPr>
            <w:r w:rsidRPr="004E4528">
              <w:rPr>
                <w:rFonts w:ascii="Arial Narrow" w:hAnsi="Arial Narrow"/>
                <w:sz w:val="24"/>
                <w:szCs w:val="24"/>
              </w:rPr>
              <w:t>Lead and environmental health are addressed through DCF health and safety standards (65C</w:t>
            </w:r>
            <w:r w:rsidRPr="004E4528">
              <w:rPr>
                <w:rFonts w:ascii="Arial Narrow" w:hAnsi="Arial Narrow"/>
                <w:sz w:val="24"/>
                <w:szCs w:val="24"/>
              </w:rPr>
              <w:noBreakHyphen/>
              <w:t>22.001, F.A.C.) and the DCF Health and Safety Standards Handbook authorized by F.S. §402.3125; additional requirements may apply through building, plumbing, and public health codes.</w:t>
            </w:r>
          </w:p>
        </w:tc>
        <w:tc>
          <w:tcPr>
            <w:tcW w:w="679" w:type="pct"/>
            <w:shd w:val="clear" w:color="auto" w:fill="DDEBF7"/>
          </w:tcPr>
          <w:p w14:paraId="50D1A2D4" w14:textId="4E3BAD8A"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MOSTLY CONTINUES</w:t>
            </w:r>
          </w:p>
        </w:tc>
        <w:tc>
          <w:tcPr>
            <w:tcW w:w="886" w:type="pct"/>
          </w:tcPr>
          <w:p w14:paraId="1560824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Retain lead prevention/testing controls; implementation method may become more flexible.</w:t>
            </w:r>
          </w:p>
        </w:tc>
        <w:tc>
          <w:tcPr>
            <w:tcW w:w="310" w:type="pct"/>
            <w:shd w:val="clear" w:color="auto" w:fill="F4CCCC"/>
          </w:tcPr>
          <w:p w14:paraId="32736AF0"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4E3A8C6F" w14:textId="77777777" w:rsidTr="005056A3">
        <w:trPr>
          <w:cantSplit/>
        </w:trPr>
        <w:tc>
          <w:tcPr>
            <w:tcW w:w="456" w:type="pct"/>
          </w:tcPr>
          <w:p w14:paraId="1F8B296E"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Transportation standards</w:t>
            </w:r>
          </w:p>
        </w:tc>
        <w:tc>
          <w:tcPr>
            <w:tcW w:w="648" w:type="pct"/>
          </w:tcPr>
          <w:p w14:paraId="38C116F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§§1303.70-1303.75 include detailed vehicle, routing, safety and disability transportation requirements.</w:t>
            </w:r>
          </w:p>
        </w:tc>
        <w:tc>
          <w:tcPr>
            <w:tcW w:w="552" w:type="pct"/>
          </w:tcPr>
          <w:p w14:paraId="629B99F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Most Head Start-specific transportation regulations are removed in favor of applicable state/local requirements.</w:t>
            </w:r>
          </w:p>
        </w:tc>
        <w:tc>
          <w:tcPr>
            <w:tcW w:w="531" w:type="pct"/>
          </w:tcPr>
          <w:p w14:paraId="066E591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State transportation, vehicle safety, child restraint and other applicable laws continue; Act includes some transportation coordination obligations.</w:t>
            </w:r>
          </w:p>
        </w:tc>
        <w:tc>
          <w:tcPr>
            <w:tcW w:w="938" w:type="pct"/>
          </w:tcPr>
          <w:p w14:paraId="3D920208" w14:textId="7BBCDFA5" w:rsidR="00EE3430" w:rsidRPr="004E4528" w:rsidRDefault="00993719" w:rsidP="00993719">
            <w:pPr>
              <w:spacing w:line="228" w:lineRule="auto"/>
              <w:rPr>
                <w:rFonts w:ascii="Arial Narrow" w:hAnsi="Arial Narrow"/>
                <w:sz w:val="24"/>
                <w:szCs w:val="24"/>
              </w:rPr>
            </w:pPr>
            <w:r w:rsidRPr="004E4528">
              <w:rPr>
                <w:rFonts w:ascii="Arial Narrow" w:hAnsi="Arial Narrow"/>
                <w:sz w:val="24"/>
                <w:szCs w:val="24"/>
              </w:rPr>
              <w:t>F.S. §1002.93 (School Readiness program transportation services); DCF Licensing Handbooks and applicable transportation safety rules (e.g., supervision, loading/unloading, restraints) under 65C</w:t>
            </w:r>
            <w:r w:rsidRPr="004E4528">
              <w:rPr>
                <w:rFonts w:ascii="Arial Narrow" w:hAnsi="Arial Narrow"/>
                <w:sz w:val="24"/>
                <w:szCs w:val="24"/>
              </w:rPr>
              <w:noBreakHyphen/>
              <w:t>22.001, F.A.C.</w:t>
            </w:r>
          </w:p>
        </w:tc>
        <w:tc>
          <w:tcPr>
            <w:tcW w:w="679" w:type="pct"/>
            <w:shd w:val="clear" w:color="auto" w:fill="FFF2CC"/>
          </w:tcPr>
          <w:p w14:paraId="525CC8AE" w14:textId="33040DCB"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4C8BA8AE" w14:textId="58510780" w:rsidR="00EE3430" w:rsidRPr="004E4528" w:rsidRDefault="00EE3430">
            <w:pPr>
              <w:spacing w:line="228" w:lineRule="auto"/>
              <w:rPr>
                <w:rFonts w:ascii="Arial Narrow" w:hAnsi="Arial Narrow"/>
                <w:sz w:val="24"/>
                <w:szCs w:val="24"/>
              </w:rPr>
            </w:pPr>
            <w:r w:rsidRPr="004E4528">
              <w:rPr>
                <w:rFonts w:ascii="Arial Narrow" w:hAnsi="Arial Narrow"/>
                <w:sz w:val="24"/>
                <w:szCs w:val="24"/>
              </w:rPr>
              <w:t>Any change to Program transportation practices should be reviewed against Florida requirements before implementation.</w:t>
            </w:r>
          </w:p>
        </w:tc>
        <w:tc>
          <w:tcPr>
            <w:tcW w:w="310" w:type="pct"/>
            <w:shd w:val="clear" w:color="auto" w:fill="F4CCCC"/>
          </w:tcPr>
          <w:p w14:paraId="24D30383"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2CF02BFB" w14:textId="77777777" w:rsidTr="005056A3">
        <w:trPr>
          <w:cantSplit/>
        </w:trPr>
        <w:tc>
          <w:tcPr>
            <w:tcW w:w="456" w:type="pct"/>
          </w:tcPr>
          <w:p w14:paraId="372A61FB"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Bus monitors</w:t>
            </w:r>
          </w:p>
        </w:tc>
        <w:tc>
          <w:tcPr>
            <w:tcW w:w="648" w:type="pct"/>
          </w:tcPr>
          <w:p w14:paraId="6FFDA3F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regulations require at least one bus monitor during transportation services.</w:t>
            </w:r>
          </w:p>
        </w:tc>
        <w:tc>
          <w:tcPr>
            <w:tcW w:w="552" w:type="pct"/>
          </w:tcPr>
          <w:p w14:paraId="7088F78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Federal bus monitor requirement is removed.</w:t>
            </w:r>
          </w:p>
        </w:tc>
        <w:tc>
          <w:tcPr>
            <w:tcW w:w="531" w:type="pct"/>
          </w:tcPr>
          <w:p w14:paraId="518CCEF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State/local requirements may still require monitoring/staffing.</w:t>
            </w:r>
          </w:p>
        </w:tc>
        <w:tc>
          <w:tcPr>
            <w:tcW w:w="938" w:type="pct"/>
          </w:tcPr>
          <w:p w14:paraId="009A3423" w14:textId="0CFAB942" w:rsidR="00EE3430" w:rsidRPr="004E4528" w:rsidRDefault="00993719" w:rsidP="00993719">
            <w:pPr>
              <w:spacing w:line="228" w:lineRule="auto"/>
              <w:rPr>
                <w:rFonts w:ascii="Arial Narrow" w:hAnsi="Arial Narrow"/>
                <w:sz w:val="24"/>
                <w:szCs w:val="24"/>
              </w:rPr>
            </w:pPr>
            <w:r w:rsidRPr="004E4528">
              <w:rPr>
                <w:rFonts w:ascii="Arial Narrow" w:hAnsi="Arial Narrow"/>
                <w:sz w:val="24"/>
                <w:szCs w:val="24"/>
              </w:rPr>
              <w:t>No explicit statewide requirement for “bus monitors” in SR statute; supervision and ratio requirements during transportation are addressed through DCF rules and handbooks (65C</w:t>
            </w:r>
            <w:r w:rsidRPr="004E4528">
              <w:rPr>
                <w:rFonts w:ascii="Arial Narrow" w:hAnsi="Arial Narrow"/>
                <w:sz w:val="24"/>
                <w:szCs w:val="24"/>
              </w:rPr>
              <w:noBreakHyphen/>
              <w:t>22.001, F.A.C., and Child Care Facility Handbook). Local school district policies may add requirements.</w:t>
            </w:r>
          </w:p>
        </w:tc>
        <w:tc>
          <w:tcPr>
            <w:tcW w:w="679" w:type="pct"/>
            <w:shd w:val="clear" w:color="auto" w:fill="FFF2CC"/>
          </w:tcPr>
          <w:p w14:paraId="21ED6467" w14:textId="0E44CDDC"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2B318881" w14:textId="0EF92B34"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Do not remove bus monitors without a Florida-specific transportation and licensing review.</w:t>
            </w:r>
          </w:p>
        </w:tc>
        <w:tc>
          <w:tcPr>
            <w:tcW w:w="310" w:type="pct"/>
            <w:shd w:val="clear" w:color="auto" w:fill="FFF2CC"/>
          </w:tcPr>
          <w:p w14:paraId="264E8279"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4EE32234" w14:textId="77777777" w:rsidTr="005056A3">
        <w:trPr>
          <w:cantSplit/>
        </w:trPr>
        <w:tc>
          <w:tcPr>
            <w:tcW w:w="456" w:type="pct"/>
          </w:tcPr>
          <w:p w14:paraId="14D415BA"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Suspension &amp; expulsion</w:t>
            </w:r>
          </w:p>
        </w:tc>
        <w:tc>
          <w:tcPr>
            <w:tcW w:w="648" w:type="pct"/>
          </w:tcPr>
          <w:p w14:paraId="2752365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contains strong federal limitations on suspension and expulsion.</w:t>
            </w:r>
          </w:p>
        </w:tc>
        <w:tc>
          <w:tcPr>
            <w:tcW w:w="552" w:type="pct"/>
          </w:tcPr>
          <w:p w14:paraId="17FC9E0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Federal regulatory prohibitions/limitations are proposed for removal.</w:t>
            </w:r>
          </w:p>
        </w:tc>
        <w:tc>
          <w:tcPr>
            <w:tcW w:w="531" w:type="pct"/>
          </w:tcPr>
          <w:p w14:paraId="514718E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IDEA, civil rights, state law and licensing requirements may still apply.</w:t>
            </w:r>
          </w:p>
        </w:tc>
        <w:tc>
          <w:tcPr>
            <w:tcW w:w="938" w:type="pct"/>
          </w:tcPr>
          <w:p w14:paraId="643987AC" w14:textId="0BD78AFA" w:rsidR="00EE3430" w:rsidRPr="004E4528" w:rsidRDefault="00B706EB" w:rsidP="00993719">
            <w:pPr>
              <w:spacing w:line="228" w:lineRule="auto"/>
              <w:rPr>
                <w:rFonts w:ascii="Arial Narrow" w:hAnsi="Arial Narrow"/>
                <w:sz w:val="24"/>
                <w:szCs w:val="24"/>
              </w:rPr>
            </w:pPr>
            <w:r w:rsidRPr="004E4528">
              <w:rPr>
                <w:rFonts w:ascii="Arial Narrow" w:hAnsi="Arial Narrow"/>
                <w:sz w:val="24"/>
                <w:szCs w:val="24"/>
              </w:rPr>
              <w:t>Discipline and expulsion practices are governed by DCF licensing rules and handbooks (prohibitions on harmful discipline, requirements for written policies) and by civil rights and disability law; there is no Florida SR rule mirroring Head Start’s explicit suspension/expulsion limitations.</w:t>
            </w:r>
          </w:p>
        </w:tc>
        <w:tc>
          <w:tcPr>
            <w:tcW w:w="679" w:type="pct"/>
            <w:shd w:val="clear" w:color="auto" w:fill="FFF2CC"/>
          </w:tcPr>
          <w:p w14:paraId="2F93561F" w14:textId="424B77A3"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425BB4E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Do not revise discipline policy based solely on the NPRM; conduct separate legal/licensing review first.</w:t>
            </w:r>
          </w:p>
        </w:tc>
        <w:tc>
          <w:tcPr>
            <w:tcW w:w="310" w:type="pct"/>
            <w:shd w:val="clear" w:color="auto" w:fill="F4CCCC"/>
          </w:tcPr>
          <w:p w14:paraId="53390E36"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6CBBC90C" w14:textId="77777777" w:rsidTr="005056A3">
        <w:trPr>
          <w:cantSplit/>
        </w:trPr>
        <w:tc>
          <w:tcPr>
            <w:tcW w:w="456" w:type="pct"/>
          </w:tcPr>
          <w:p w14:paraId="7AA41701"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Staff qualifications - non-education roles</w:t>
            </w:r>
          </w:p>
        </w:tc>
        <w:tc>
          <w:tcPr>
            <w:tcW w:w="648" w:type="pct"/>
          </w:tcPr>
          <w:p w14:paraId="041373B5"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HSPPS contains qualification requirements for numerous positions.</w:t>
            </w:r>
          </w:p>
        </w:tc>
        <w:tc>
          <w:tcPr>
            <w:tcW w:w="552" w:type="pct"/>
          </w:tcPr>
          <w:p w14:paraId="794AA16B"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Several regulatory qualification requirements for non-education roles are removed.</w:t>
            </w:r>
          </w:p>
        </w:tc>
        <w:tc>
          <w:tcPr>
            <w:tcW w:w="531" w:type="pct"/>
          </w:tcPr>
          <w:p w14:paraId="3F1F8EB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The Act still contains specific qualification requirements for designated education positions.</w:t>
            </w:r>
          </w:p>
        </w:tc>
        <w:tc>
          <w:tcPr>
            <w:tcW w:w="938" w:type="pct"/>
          </w:tcPr>
          <w:p w14:paraId="207A36CE" w14:textId="5E02B1FE" w:rsidR="00EE3430" w:rsidRPr="004E4528" w:rsidRDefault="00B706EB" w:rsidP="00993719">
            <w:pPr>
              <w:spacing w:line="228" w:lineRule="auto"/>
              <w:rPr>
                <w:rFonts w:ascii="Arial Narrow" w:hAnsi="Arial Narrow"/>
                <w:sz w:val="24"/>
                <w:szCs w:val="24"/>
              </w:rPr>
            </w:pPr>
            <w:r w:rsidRPr="004E4528">
              <w:rPr>
                <w:rFonts w:ascii="Arial Narrow" w:hAnsi="Arial Narrow"/>
                <w:sz w:val="24"/>
                <w:szCs w:val="24"/>
              </w:rPr>
              <w:t>F.S. §402.305(3) (personnel requirements); Rule 65C</w:t>
            </w:r>
            <w:r w:rsidRPr="004E4528">
              <w:rPr>
                <w:rFonts w:ascii="Arial Narrow" w:hAnsi="Arial Narrow"/>
                <w:sz w:val="24"/>
                <w:szCs w:val="24"/>
              </w:rPr>
              <w:noBreakHyphen/>
              <w:t>22.003, F.A.C. (staff training and qualifications); F.S. §1002.995 and Rule 6M</w:t>
            </w:r>
            <w:r w:rsidRPr="004E4528">
              <w:rPr>
                <w:rFonts w:ascii="Arial Narrow" w:hAnsi="Arial Narrow"/>
                <w:sz w:val="24"/>
                <w:szCs w:val="24"/>
              </w:rPr>
              <w:noBreakHyphen/>
              <w:t>4.735, F.A.C. (Early learning professional learning standards and career pathways).</w:t>
            </w:r>
          </w:p>
        </w:tc>
        <w:tc>
          <w:tcPr>
            <w:tcW w:w="679" w:type="pct"/>
            <w:shd w:val="clear" w:color="auto" w:fill="FFF2CC"/>
          </w:tcPr>
          <w:p w14:paraId="38B1E9DA" w14:textId="09CD3516"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1C6529F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HR may gain flexibility for some Health, Family Services and other roles, but each position must be checked against the Act, licensing and funder requirements.</w:t>
            </w:r>
          </w:p>
        </w:tc>
        <w:tc>
          <w:tcPr>
            <w:tcW w:w="310" w:type="pct"/>
            <w:shd w:val="clear" w:color="auto" w:fill="FFF2CC"/>
          </w:tcPr>
          <w:p w14:paraId="70078D11"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09A7D497" w14:textId="77777777" w:rsidTr="005056A3">
        <w:trPr>
          <w:cantSplit/>
        </w:trPr>
        <w:tc>
          <w:tcPr>
            <w:tcW w:w="456" w:type="pct"/>
          </w:tcPr>
          <w:p w14:paraId="7B1CC592"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Education staff qualifications</w:t>
            </w:r>
          </w:p>
        </w:tc>
        <w:tc>
          <w:tcPr>
            <w:tcW w:w="648" w:type="pct"/>
          </w:tcPr>
          <w:p w14:paraId="19D467C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and Act establish qualifications for teachers/education leadership.</w:t>
            </w:r>
          </w:p>
        </w:tc>
        <w:tc>
          <w:tcPr>
            <w:tcW w:w="552" w:type="pct"/>
          </w:tcPr>
          <w:p w14:paraId="049D1861"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Some regulatory duplication is removed.</w:t>
            </w:r>
          </w:p>
        </w:tc>
        <w:tc>
          <w:tcPr>
            <w:tcW w:w="531" w:type="pct"/>
          </w:tcPr>
          <w:p w14:paraId="19BCFCB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Act requirements remain for Head Start teachers, assistant teachers, EHS teachers and certain education managers/coordinators.</w:t>
            </w:r>
          </w:p>
        </w:tc>
        <w:tc>
          <w:tcPr>
            <w:tcW w:w="938" w:type="pct"/>
          </w:tcPr>
          <w:p w14:paraId="0806B225" w14:textId="4BEFD74C" w:rsidR="00EE3430" w:rsidRPr="004E4528" w:rsidRDefault="00B706EB" w:rsidP="00993719">
            <w:pPr>
              <w:spacing w:line="228" w:lineRule="auto"/>
              <w:rPr>
                <w:rFonts w:ascii="Arial Narrow" w:hAnsi="Arial Narrow"/>
                <w:sz w:val="24"/>
                <w:szCs w:val="24"/>
              </w:rPr>
            </w:pPr>
            <w:r w:rsidRPr="004E4528">
              <w:rPr>
                <w:rFonts w:ascii="Arial Narrow" w:hAnsi="Arial Narrow"/>
                <w:sz w:val="24"/>
                <w:szCs w:val="24"/>
              </w:rPr>
              <w:t>F.S. §1002.88(1)(e) (SR provider standards, staff qualifications); F.S. §1002.995 (professional learning standards and career pathway); Rule 6M</w:t>
            </w:r>
            <w:r w:rsidRPr="004E4528">
              <w:rPr>
                <w:rFonts w:ascii="Arial Narrow" w:hAnsi="Arial Narrow"/>
                <w:sz w:val="24"/>
                <w:szCs w:val="24"/>
              </w:rPr>
              <w:noBreakHyphen/>
              <w:t>4.735, F.A.C. (early learning professional development standards).</w:t>
            </w:r>
          </w:p>
        </w:tc>
        <w:tc>
          <w:tcPr>
            <w:tcW w:w="679" w:type="pct"/>
            <w:shd w:val="clear" w:color="auto" w:fill="E2F0D9"/>
          </w:tcPr>
          <w:p w14:paraId="02387452" w14:textId="1461D3CA"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w:t>
            </w:r>
          </w:p>
        </w:tc>
        <w:tc>
          <w:tcPr>
            <w:tcW w:w="886" w:type="pct"/>
          </w:tcPr>
          <w:p w14:paraId="4AD30DD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Do not lower qualifications for positions governed by the Act.</w:t>
            </w:r>
          </w:p>
        </w:tc>
        <w:tc>
          <w:tcPr>
            <w:tcW w:w="310" w:type="pct"/>
            <w:shd w:val="clear" w:color="auto" w:fill="F4CCCC"/>
          </w:tcPr>
          <w:p w14:paraId="1DC780E0"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60A40311" w14:textId="77777777" w:rsidTr="005056A3">
        <w:trPr>
          <w:cantSplit/>
        </w:trPr>
        <w:tc>
          <w:tcPr>
            <w:tcW w:w="456" w:type="pct"/>
          </w:tcPr>
          <w:p w14:paraId="069355B6"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Coordinated coaching strategy</w:t>
            </w:r>
          </w:p>
        </w:tc>
        <w:tc>
          <w:tcPr>
            <w:tcW w:w="648" w:type="pct"/>
          </w:tcPr>
          <w:p w14:paraId="5D4BEB13"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requires a coordinated coaching strategy.</w:t>
            </w:r>
          </w:p>
        </w:tc>
        <w:tc>
          <w:tcPr>
            <w:tcW w:w="552" w:type="pct"/>
          </w:tcPr>
          <w:p w14:paraId="44862E70"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Federal regulatory coaching-system requirement is removed.</w:t>
            </w:r>
          </w:p>
        </w:tc>
        <w:tc>
          <w:tcPr>
            <w:tcW w:w="531" w:type="pct"/>
          </w:tcPr>
          <w:p w14:paraId="6AB06629"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Professional development requirements in the Act continue.</w:t>
            </w:r>
          </w:p>
        </w:tc>
        <w:tc>
          <w:tcPr>
            <w:tcW w:w="938" w:type="pct"/>
          </w:tcPr>
          <w:p w14:paraId="32DB9B58" w14:textId="0384608A" w:rsidR="00EE3430" w:rsidRPr="004E4528" w:rsidRDefault="00027FB6" w:rsidP="00993719">
            <w:pPr>
              <w:spacing w:line="228" w:lineRule="auto"/>
              <w:rPr>
                <w:rFonts w:ascii="Arial Narrow" w:hAnsi="Arial Narrow"/>
                <w:sz w:val="24"/>
                <w:szCs w:val="24"/>
              </w:rPr>
            </w:pPr>
            <w:r w:rsidRPr="004E4528">
              <w:rPr>
                <w:rFonts w:ascii="Arial Narrow" w:hAnsi="Arial Narrow"/>
                <w:sz w:val="24"/>
                <w:szCs w:val="24"/>
              </w:rPr>
              <w:t>F.S. §1002.995 and Rule 6M</w:t>
            </w:r>
            <w:r w:rsidRPr="004E4528">
              <w:rPr>
                <w:rFonts w:ascii="Cambria Math" w:hAnsi="Cambria Math" w:cs="Cambria Math"/>
                <w:sz w:val="24"/>
                <w:szCs w:val="24"/>
              </w:rPr>
              <w:t>‑</w:t>
            </w:r>
            <w:r w:rsidRPr="004E4528">
              <w:rPr>
                <w:rFonts w:ascii="Arial Narrow" w:hAnsi="Arial Narrow"/>
                <w:sz w:val="24"/>
                <w:szCs w:val="24"/>
              </w:rPr>
              <w:t>4.735, F.A.C. (professional learning standards and career pathways) support coaching and PD models, but there is no requirement for a specific “coordinated coaching strategy” like HSPPS.</w:t>
            </w:r>
          </w:p>
        </w:tc>
        <w:tc>
          <w:tcPr>
            <w:tcW w:w="679" w:type="pct"/>
            <w:shd w:val="clear" w:color="auto" w:fill="FFF2CC"/>
          </w:tcPr>
          <w:p w14:paraId="0C4C2D2E" w14:textId="6242AC5F"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616E01F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Program may retain Practice-Based Coaching as a quality strategy, but the current federal regulatory structure would no longer dictate it.</w:t>
            </w:r>
          </w:p>
        </w:tc>
        <w:tc>
          <w:tcPr>
            <w:tcW w:w="310" w:type="pct"/>
            <w:shd w:val="clear" w:color="auto" w:fill="FFF2CC"/>
          </w:tcPr>
          <w:p w14:paraId="544E7324"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0D5B57A4" w14:textId="77777777" w:rsidTr="005056A3">
        <w:trPr>
          <w:cantSplit/>
        </w:trPr>
        <w:tc>
          <w:tcPr>
            <w:tcW w:w="456" w:type="pct"/>
          </w:tcPr>
          <w:p w14:paraId="0F169EF6"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Staff breaks</w:t>
            </w:r>
          </w:p>
        </w:tc>
        <w:tc>
          <w:tcPr>
            <w:tcW w:w="648" w:type="pct"/>
          </w:tcPr>
          <w:p w14:paraId="71DCF98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2024 HSPPS added additional staff-break provisions.</w:t>
            </w:r>
          </w:p>
        </w:tc>
        <w:tc>
          <w:tcPr>
            <w:tcW w:w="552" w:type="pct"/>
          </w:tcPr>
          <w:p w14:paraId="455E097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rule removes these provisions before full implementation.</w:t>
            </w:r>
          </w:p>
        </w:tc>
        <w:tc>
          <w:tcPr>
            <w:tcW w:w="531" w:type="pct"/>
          </w:tcPr>
          <w:p w14:paraId="439EB8AE" w14:textId="720EBD14" w:rsidR="00EE3430" w:rsidRPr="004E4528" w:rsidRDefault="00EE3430">
            <w:pPr>
              <w:spacing w:line="228" w:lineRule="auto"/>
              <w:rPr>
                <w:rFonts w:ascii="Arial Narrow" w:hAnsi="Arial Narrow"/>
                <w:sz w:val="24"/>
                <w:szCs w:val="24"/>
              </w:rPr>
            </w:pPr>
            <w:r w:rsidRPr="004E4528">
              <w:rPr>
                <w:rFonts w:ascii="Arial Narrow" w:hAnsi="Arial Narrow"/>
                <w:sz w:val="24"/>
                <w:szCs w:val="24"/>
              </w:rPr>
              <w:t>Florida employment law and agency policies continue.</w:t>
            </w:r>
          </w:p>
        </w:tc>
        <w:tc>
          <w:tcPr>
            <w:tcW w:w="938" w:type="pct"/>
          </w:tcPr>
          <w:p w14:paraId="011DF475" w14:textId="3C1D50ED" w:rsidR="00EE3430" w:rsidRPr="004E4528" w:rsidRDefault="002B2EF2" w:rsidP="00993719">
            <w:pPr>
              <w:spacing w:line="228" w:lineRule="auto"/>
              <w:rPr>
                <w:rFonts w:ascii="Arial Narrow" w:hAnsi="Arial Narrow"/>
                <w:sz w:val="24"/>
                <w:szCs w:val="24"/>
              </w:rPr>
            </w:pPr>
            <w:r w:rsidRPr="004E4528">
              <w:rPr>
                <w:rFonts w:ascii="Arial Narrow" w:hAnsi="Arial Narrow"/>
                <w:sz w:val="24"/>
                <w:szCs w:val="24"/>
              </w:rPr>
              <w:t>Florida labor/employment law governs breaks and working conditions; child care licensing addresses supervision coverage (65C</w:t>
            </w:r>
            <w:r w:rsidRPr="004E4528">
              <w:rPr>
                <w:rFonts w:ascii="Cambria Math" w:hAnsi="Cambria Math" w:cs="Cambria Math"/>
                <w:sz w:val="24"/>
                <w:szCs w:val="24"/>
              </w:rPr>
              <w:t>‑</w:t>
            </w:r>
            <w:r w:rsidRPr="004E4528">
              <w:rPr>
                <w:rFonts w:ascii="Arial Narrow" w:hAnsi="Arial Narrow"/>
                <w:sz w:val="24"/>
                <w:szCs w:val="24"/>
              </w:rPr>
              <w:t>22.001, F.A.C.). No SR/HSPPS</w:t>
            </w:r>
            <w:r w:rsidRPr="004E4528">
              <w:rPr>
                <w:rFonts w:ascii="Cambria Math" w:hAnsi="Cambria Math" w:cs="Cambria Math"/>
                <w:sz w:val="24"/>
                <w:szCs w:val="24"/>
              </w:rPr>
              <w:t>‑</w:t>
            </w:r>
            <w:r w:rsidRPr="004E4528">
              <w:rPr>
                <w:rFonts w:ascii="Arial Narrow" w:hAnsi="Arial Narrow"/>
                <w:sz w:val="24"/>
                <w:szCs w:val="24"/>
              </w:rPr>
              <w:t>style staff</w:t>
            </w:r>
            <w:r w:rsidRPr="004E4528">
              <w:rPr>
                <w:rFonts w:ascii="Cambria Math" w:hAnsi="Cambria Math" w:cs="Cambria Math"/>
                <w:sz w:val="24"/>
                <w:szCs w:val="24"/>
              </w:rPr>
              <w:t>‑</w:t>
            </w:r>
            <w:r w:rsidRPr="004E4528">
              <w:rPr>
                <w:rFonts w:ascii="Arial Narrow" w:hAnsi="Arial Narrow"/>
                <w:sz w:val="24"/>
                <w:szCs w:val="24"/>
              </w:rPr>
              <w:t>break provisions in statute.</w:t>
            </w:r>
          </w:p>
        </w:tc>
        <w:tc>
          <w:tcPr>
            <w:tcW w:w="679" w:type="pct"/>
            <w:shd w:val="clear" w:color="auto" w:fill="FFF2CC"/>
          </w:tcPr>
          <w:p w14:paraId="3B1FD4DC" w14:textId="42C0FFB1"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FLEXIBILITY/REMOVED</w:t>
            </w:r>
          </w:p>
        </w:tc>
        <w:tc>
          <w:tcPr>
            <w:tcW w:w="886" w:type="pct"/>
          </w:tcPr>
          <w:p w14:paraId="4F35DA1B" w14:textId="1FB4B385"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HR should rely on Florida labor requirements and agency policy.</w:t>
            </w:r>
          </w:p>
        </w:tc>
        <w:tc>
          <w:tcPr>
            <w:tcW w:w="310" w:type="pct"/>
          </w:tcPr>
          <w:p w14:paraId="5FFD2402"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LOW</w:t>
            </w:r>
          </w:p>
        </w:tc>
      </w:tr>
      <w:tr w:rsidR="00EE3430" w:rsidRPr="004E4528" w14:paraId="179CF545" w14:textId="77777777" w:rsidTr="005056A3">
        <w:trPr>
          <w:cantSplit/>
        </w:trPr>
        <w:tc>
          <w:tcPr>
            <w:tcW w:w="456" w:type="pct"/>
          </w:tcPr>
          <w:p w14:paraId="043DEC2C"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Background checks</w:t>
            </w:r>
          </w:p>
        </w:tc>
        <w:tc>
          <w:tcPr>
            <w:tcW w:w="648" w:type="pct"/>
          </w:tcPr>
          <w:p w14:paraId="569A134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contains detailed background-check provisions.</w:t>
            </w:r>
          </w:p>
        </w:tc>
        <w:tc>
          <w:tcPr>
            <w:tcW w:w="552" w:type="pct"/>
          </w:tcPr>
          <w:p w14:paraId="6FE3371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Duplicative HSPPS language is reduced/removed.</w:t>
            </w:r>
          </w:p>
        </w:tc>
        <w:tc>
          <w:tcPr>
            <w:tcW w:w="531" w:type="pct"/>
          </w:tcPr>
          <w:p w14:paraId="7AC5E13E"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Background checks remain required under the Head Start Act and applicable state law/licensing.</w:t>
            </w:r>
          </w:p>
        </w:tc>
        <w:tc>
          <w:tcPr>
            <w:tcW w:w="938" w:type="pct"/>
          </w:tcPr>
          <w:p w14:paraId="623102CB" w14:textId="3DC885E3" w:rsidR="00EE3430" w:rsidRPr="004E4528" w:rsidRDefault="00B706EB" w:rsidP="00993719">
            <w:pPr>
              <w:spacing w:line="228" w:lineRule="auto"/>
              <w:rPr>
                <w:rFonts w:ascii="Arial Narrow" w:hAnsi="Arial Narrow"/>
                <w:sz w:val="24"/>
                <w:szCs w:val="24"/>
              </w:rPr>
            </w:pPr>
            <w:r w:rsidRPr="004E4528">
              <w:rPr>
                <w:rFonts w:ascii="Arial Narrow" w:hAnsi="Arial Narrow"/>
                <w:sz w:val="24"/>
                <w:szCs w:val="24"/>
              </w:rPr>
              <w:t>F.S. Ch. 435 (Employment Screening); F.S. §402.3055 (Child care personnel screening); Rule 65C</w:t>
            </w:r>
            <w:r w:rsidRPr="004E4528">
              <w:rPr>
                <w:rFonts w:ascii="Arial Narrow" w:hAnsi="Arial Narrow"/>
                <w:sz w:val="24"/>
                <w:szCs w:val="24"/>
              </w:rPr>
              <w:noBreakHyphen/>
              <w:t>22.003, F.A.C. (staff requirements and screening). These remain binding regardless of changes to HSPPS language.</w:t>
            </w:r>
          </w:p>
        </w:tc>
        <w:tc>
          <w:tcPr>
            <w:tcW w:w="679" w:type="pct"/>
            <w:shd w:val="clear" w:color="auto" w:fill="E2F0D9"/>
          </w:tcPr>
          <w:p w14:paraId="145F1105" w14:textId="0E760F2E"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w:t>
            </w:r>
          </w:p>
        </w:tc>
        <w:tc>
          <w:tcPr>
            <w:tcW w:w="886" w:type="pct"/>
          </w:tcPr>
          <w:p w14:paraId="1E1CAC4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Do not eliminate or weaken background checks. Only the duplicative federal regulatory layer changes.</w:t>
            </w:r>
          </w:p>
        </w:tc>
        <w:tc>
          <w:tcPr>
            <w:tcW w:w="310" w:type="pct"/>
            <w:shd w:val="clear" w:color="auto" w:fill="F4CCCC"/>
          </w:tcPr>
          <w:p w14:paraId="4D0A1A3A"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5CA367C2" w14:textId="77777777" w:rsidTr="005056A3">
        <w:trPr>
          <w:cantSplit/>
        </w:trPr>
        <w:tc>
          <w:tcPr>
            <w:tcW w:w="456" w:type="pct"/>
          </w:tcPr>
          <w:p w14:paraId="7B7A1581"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lastRenderedPageBreak/>
              <w:t>Personnel policies / standards of conduct</w:t>
            </w:r>
          </w:p>
        </w:tc>
        <w:tc>
          <w:tcPr>
            <w:tcW w:w="648" w:type="pct"/>
          </w:tcPr>
          <w:p w14:paraId="1597F3F8"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includes detailed federal personnel policy and standards-of-conduct requirements.</w:t>
            </w:r>
          </w:p>
        </w:tc>
        <w:tc>
          <w:tcPr>
            <w:tcW w:w="552" w:type="pct"/>
          </w:tcPr>
          <w:p w14:paraId="01773F8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Some detailed requirements are proposed for removal as duplicative.</w:t>
            </w:r>
          </w:p>
        </w:tc>
        <w:tc>
          <w:tcPr>
            <w:tcW w:w="531" w:type="pct"/>
          </w:tcPr>
          <w:p w14:paraId="56CD982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Other federal grant rules, state law, licensing and the Act continue to apply.</w:t>
            </w:r>
          </w:p>
        </w:tc>
        <w:tc>
          <w:tcPr>
            <w:tcW w:w="938" w:type="pct"/>
          </w:tcPr>
          <w:p w14:paraId="1D80878F" w14:textId="1D4CBDDF" w:rsidR="00EE3430" w:rsidRPr="004E4528" w:rsidRDefault="002B2EF2" w:rsidP="00993719">
            <w:pPr>
              <w:spacing w:line="228" w:lineRule="auto"/>
              <w:rPr>
                <w:rFonts w:ascii="Arial Narrow" w:hAnsi="Arial Narrow"/>
                <w:sz w:val="24"/>
                <w:szCs w:val="24"/>
              </w:rPr>
            </w:pPr>
            <w:r w:rsidRPr="004E4528">
              <w:rPr>
                <w:rFonts w:ascii="Arial Narrow" w:hAnsi="Arial Narrow"/>
                <w:sz w:val="24"/>
                <w:szCs w:val="24"/>
              </w:rPr>
              <w:t>F.S. §402.305(12) (discipline practices and standards); Rule 65C</w:t>
            </w:r>
            <w:r w:rsidRPr="004E4528">
              <w:rPr>
                <w:rFonts w:ascii="Cambria Math" w:hAnsi="Cambria Math" w:cs="Cambria Math"/>
                <w:sz w:val="24"/>
                <w:szCs w:val="24"/>
              </w:rPr>
              <w:t>‑</w:t>
            </w:r>
            <w:r w:rsidRPr="004E4528">
              <w:rPr>
                <w:rFonts w:ascii="Arial Narrow" w:hAnsi="Arial Narrow"/>
                <w:sz w:val="24"/>
                <w:szCs w:val="24"/>
              </w:rPr>
              <w:t>22.001 and 65C</w:t>
            </w:r>
            <w:r w:rsidRPr="004E4528">
              <w:rPr>
                <w:rFonts w:ascii="Cambria Math" w:hAnsi="Cambria Math" w:cs="Cambria Math"/>
                <w:sz w:val="24"/>
                <w:szCs w:val="24"/>
              </w:rPr>
              <w:t>‑</w:t>
            </w:r>
            <w:r w:rsidRPr="004E4528">
              <w:rPr>
                <w:rFonts w:ascii="Arial Narrow" w:hAnsi="Arial Narrow"/>
                <w:sz w:val="24"/>
                <w:szCs w:val="24"/>
              </w:rPr>
              <w:t>22.003, F.A.C. (discipline, staff responsibilities, training); SR provider standards in F.S. §1002.88. These require policies and appropriate conduct but are less prescriptive than HSPPS personnel standards.</w:t>
            </w:r>
          </w:p>
        </w:tc>
        <w:tc>
          <w:tcPr>
            <w:tcW w:w="679" w:type="pct"/>
            <w:shd w:val="clear" w:color="auto" w:fill="E2F0D9"/>
          </w:tcPr>
          <w:p w14:paraId="2852F626" w14:textId="190CDCD5"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11B9D6E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HR policies remain necessary; federal Head Start-specific wording may be simplified after a full legal/funding review.</w:t>
            </w:r>
          </w:p>
        </w:tc>
        <w:tc>
          <w:tcPr>
            <w:tcW w:w="310" w:type="pct"/>
            <w:shd w:val="clear" w:color="auto" w:fill="FFF2CC"/>
          </w:tcPr>
          <w:p w14:paraId="217690F2"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7F7ED2F9" w14:textId="77777777" w:rsidTr="005056A3">
        <w:trPr>
          <w:cantSplit/>
        </w:trPr>
        <w:tc>
          <w:tcPr>
            <w:tcW w:w="456" w:type="pct"/>
          </w:tcPr>
          <w:p w14:paraId="03D06123"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Program goals, CQI &amp; data use</w:t>
            </w:r>
          </w:p>
        </w:tc>
        <w:tc>
          <w:tcPr>
            <w:tcW w:w="648" w:type="pct"/>
          </w:tcPr>
          <w:p w14:paraId="6C2B1F2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Subpart J includes detailed management, data use and continuous improvement requirements.</w:t>
            </w:r>
          </w:p>
        </w:tc>
        <w:tc>
          <w:tcPr>
            <w:tcW w:w="552" w:type="pct"/>
          </w:tcPr>
          <w:p w14:paraId="4D57182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Replaced with streamlined proposed §1301.13; some detailed data aggregation/use requirements are removed.</w:t>
            </w:r>
          </w:p>
        </w:tc>
        <w:tc>
          <w:tcPr>
            <w:tcW w:w="531" w:type="pct"/>
          </w:tcPr>
          <w:p w14:paraId="214642BF"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Statutory monitoring, program improvement and accountability obligations remain.</w:t>
            </w:r>
          </w:p>
        </w:tc>
        <w:tc>
          <w:tcPr>
            <w:tcW w:w="938" w:type="pct"/>
          </w:tcPr>
          <w:p w14:paraId="1B5EC442" w14:textId="3924EE20" w:rsidR="00EE3430" w:rsidRPr="004E4528" w:rsidRDefault="00EE102C" w:rsidP="00993719">
            <w:pPr>
              <w:spacing w:line="228" w:lineRule="auto"/>
              <w:rPr>
                <w:rFonts w:ascii="Arial Narrow" w:hAnsi="Arial Narrow"/>
                <w:sz w:val="24"/>
                <w:szCs w:val="24"/>
              </w:rPr>
            </w:pPr>
            <w:r w:rsidRPr="004E4528">
              <w:rPr>
                <w:rFonts w:ascii="Arial Narrow" w:hAnsi="Arial Narrow"/>
                <w:sz w:val="24"/>
                <w:szCs w:val="24"/>
              </w:rPr>
              <w:t>F.S. §1002.82 and §1002.84 (DEL and coalition powers and duties, including performance and accountability); Rule 6M</w:t>
            </w:r>
            <w:r w:rsidRPr="004E4528">
              <w:rPr>
                <w:rFonts w:ascii="Arial Narrow" w:hAnsi="Arial Narrow"/>
                <w:sz w:val="24"/>
                <w:szCs w:val="24"/>
              </w:rPr>
              <w:noBreakHyphen/>
              <w:t>9.120, F.A.C. (Coalition performance standards and evaluations); Rule 6M</w:t>
            </w:r>
            <w:r w:rsidRPr="004E4528">
              <w:rPr>
                <w:rFonts w:ascii="Arial Narrow" w:hAnsi="Arial Narrow"/>
                <w:sz w:val="24"/>
                <w:szCs w:val="24"/>
              </w:rPr>
              <w:noBreakHyphen/>
              <w:t>4.740, F.A.C. (Program assessment requirements for SR).</w:t>
            </w:r>
          </w:p>
        </w:tc>
        <w:tc>
          <w:tcPr>
            <w:tcW w:w="679" w:type="pct"/>
            <w:shd w:val="clear" w:color="auto" w:fill="E2F0D9"/>
          </w:tcPr>
          <w:p w14:paraId="1F7B642B" w14:textId="7B8E40F4"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STILL REQUIRED / MORE FLEXIBLE</w:t>
            </w:r>
          </w:p>
        </w:tc>
        <w:tc>
          <w:tcPr>
            <w:tcW w:w="886" w:type="pct"/>
          </w:tcPr>
          <w:p w14:paraId="5BBE83B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CQI continues, but Program may have more discretion regarding process, documentation and frequency of some analyses.</w:t>
            </w:r>
          </w:p>
        </w:tc>
        <w:tc>
          <w:tcPr>
            <w:tcW w:w="310" w:type="pct"/>
            <w:shd w:val="clear" w:color="auto" w:fill="FFF2CC"/>
          </w:tcPr>
          <w:p w14:paraId="36D0B364"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r w:rsidR="00EE3430" w:rsidRPr="004E4528" w14:paraId="487EE079" w14:textId="77777777" w:rsidTr="005056A3">
        <w:trPr>
          <w:cantSplit/>
        </w:trPr>
        <w:tc>
          <w:tcPr>
            <w:tcW w:w="456" w:type="pct"/>
          </w:tcPr>
          <w:p w14:paraId="3F709DE2"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Administrative cost cap</w:t>
            </w:r>
          </w:p>
        </w:tc>
        <w:tc>
          <w:tcPr>
            <w:tcW w:w="648" w:type="pct"/>
          </w:tcPr>
          <w:p w14:paraId="5E65B1A7"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limit is generally 15% of total approved program costs.</w:t>
            </w:r>
          </w:p>
        </w:tc>
        <w:tc>
          <w:tcPr>
            <w:tcW w:w="552" w:type="pct"/>
          </w:tcPr>
          <w:p w14:paraId="7E5D499A"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§1301.14 lowers the cap to 5%; waiver may be requested under proposed §1301.18.</w:t>
            </w:r>
          </w:p>
        </w:tc>
        <w:tc>
          <w:tcPr>
            <w:tcW w:w="531" w:type="pct"/>
          </w:tcPr>
          <w:p w14:paraId="5BDD956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This would be a new regulatory limit if finalized.</w:t>
            </w:r>
          </w:p>
        </w:tc>
        <w:tc>
          <w:tcPr>
            <w:tcW w:w="938" w:type="pct"/>
          </w:tcPr>
          <w:p w14:paraId="0F82B155" w14:textId="4175B5B4" w:rsidR="00EE3430" w:rsidRPr="004E4528" w:rsidRDefault="00EE102C" w:rsidP="00993719">
            <w:pPr>
              <w:spacing w:line="228" w:lineRule="auto"/>
              <w:rPr>
                <w:rFonts w:ascii="Arial Narrow" w:hAnsi="Arial Narrow"/>
                <w:sz w:val="24"/>
                <w:szCs w:val="24"/>
              </w:rPr>
            </w:pPr>
            <w:r w:rsidRPr="004E4528">
              <w:rPr>
                <w:rFonts w:ascii="Arial Narrow" w:hAnsi="Arial Narrow"/>
                <w:sz w:val="24"/>
                <w:szCs w:val="24"/>
              </w:rPr>
              <w:t>No direct Florida SR statute mirroring a 5% administrative cap. Funding and cost allocation are addressed in F.S. §1002.89 (School Readiness program funding) and DEL guidance, which set parameters for administrative and quality expenditures but not an identical Head Start cap.</w:t>
            </w:r>
          </w:p>
        </w:tc>
        <w:tc>
          <w:tcPr>
            <w:tcW w:w="679" w:type="pct"/>
            <w:shd w:val="clear" w:color="auto" w:fill="FCE4D6"/>
          </w:tcPr>
          <w:p w14:paraId="5EB95F04" w14:textId="7869D7A4"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087F0B0D"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Very high organizational impact. Finance should model current administrative cost allocation and identify positions/costs that may need reclassification or restructuring.</w:t>
            </w:r>
          </w:p>
        </w:tc>
        <w:tc>
          <w:tcPr>
            <w:tcW w:w="310" w:type="pct"/>
            <w:shd w:val="clear" w:color="auto" w:fill="F4CCCC"/>
          </w:tcPr>
          <w:p w14:paraId="0CD7A919"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HIGH</w:t>
            </w:r>
          </w:p>
        </w:tc>
      </w:tr>
      <w:tr w:rsidR="00EE3430" w:rsidRPr="004E4528" w14:paraId="2096CF60" w14:textId="77777777" w:rsidTr="005056A3">
        <w:trPr>
          <w:cantSplit/>
        </w:trPr>
        <w:tc>
          <w:tcPr>
            <w:tcW w:w="456" w:type="pct"/>
          </w:tcPr>
          <w:p w14:paraId="46766B3B" w14:textId="77777777" w:rsidR="00EE3430" w:rsidRPr="004E4528" w:rsidRDefault="00EE3430">
            <w:pPr>
              <w:spacing w:line="228" w:lineRule="auto"/>
              <w:rPr>
                <w:rFonts w:ascii="Arial Narrow" w:hAnsi="Arial Narrow"/>
                <w:sz w:val="24"/>
                <w:szCs w:val="24"/>
              </w:rPr>
            </w:pPr>
            <w:r w:rsidRPr="004E4528">
              <w:rPr>
                <w:rFonts w:ascii="Arial Narrow" w:hAnsi="Arial Narrow"/>
                <w:b/>
                <w:bCs/>
                <w:sz w:val="24"/>
                <w:szCs w:val="24"/>
              </w:rPr>
              <w:t>Waiver authority</w:t>
            </w:r>
          </w:p>
        </w:tc>
        <w:tc>
          <w:tcPr>
            <w:tcW w:w="648" w:type="pct"/>
          </w:tcPr>
          <w:p w14:paraId="47FC9824"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Current HSPPS allows waivers in more limited circumstances.</w:t>
            </w:r>
          </w:p>
        </w:tc>
        <w:tc>
          <w:tcPr>
            <w:tcW w:w="552" w:type="pct"/>
          </w:tcPr>
          <w:p w14:paraId="4065718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Proposed §1301.18 broadens waiver authority for certain requirements, subject to HHS approval.</w:t>
            </w:r>
          </w:p>
        </w:tc>
        <w:tc>
          <w:tcPr>
            <w:tcW w:w="531" w:type="pct"/>
          </w:tcPr>
          <w:p w14:paraId="0EC0F05C"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Core statutory protections and requirements remain binding unless law permits waiver.</w:t>
            </w:r>
          </w:p>
        </w:tc>
        <w:tc>
          <w:tcPr>
            <w:tcW w:w="938" w:type="pct"/>
          </w:tcPr>
          <w:p w14:paraId="400062CE" w14:textId="55006E47" w:rsidR="00EE3430" w:rsidRPr="004E4528" w:rsidRDefault="00EE102C" w:rsidP="00993719">
            <w:pPr>
              <w:spacing w:line="228" w:lineRule="auto"/>
              <w:rPr>
                <w:rFonts w:ascii="Arial Narrow" w:hAnsi="Arial Narrow"/>
                <w:sz w:val="24"/>
                <w:szCs w:val="24"/>
              </w:rPr>
            </w:pPr>
            <w:r w:rsidRPr="004E4528">
              <w:rPr>
                <w:rFonts w:ascii="Arial Narrow" w:hAnsi="Arial Narrow"/>
                <w:sz w:val="24"/>
                <w:szCs w:val="24"/>
              </w:rPr>
              <w:t>Florida uses waivers and variances through administrative processes (e.g., §120.542, F.S., for rule variances and waivers), but there is no SR</w:t>
            </w:r>
            <w:r w:rsidRPr="004E4528">
              <w:rPr>
                <w:rFonts w:ascii="Arial Narrow" w:hAnsi="Arial Narrow"/>
                <w:sz w:val="24"/>
                <w:szCs w:val="24"/>
              </w:rPr>
              <w:noBreakHyphen/>
              <w:t>specific waiver authority equivalent to proposed §1301.18 for Head Start.</w:t>
            </w:r>
          </w:p>
        </w:tc>
        <w:tc>
          <w:tcPr>
            <w:tcW w:w="679" w:type="pct"/>
            <w:shd w:val="clear" w:color="auto" w:fill="FCE4D6"/>
          </w:tcPr>
          <w:p w14:paraId="1AD1A243" w14:textId="0987F64B"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NEW/CHANGED</w:t>
            </w:r>
          </w:p>
        </w:tc>
        <w:tc>
          <w:tcPr>
            <w:tcW w:w="886" w:type="pct"/>
          </w:tcPr>
          <w:p w14:paraId="774A9796" w14:textId="77777777" w:rsidR="00EE3430" w:rsidRPr="004E4528" w:rsidRDefault="00EE3430">
            <w:pPr>
              <w:spacing w:line="228" w:lineRule="auto"/>
              <w:rPr>
                <w:rFonts w:ascii="Arial Narrow" w:hAnsi="Arial Narrow"/>
                <w:sz w:val="24"/>
                <w:szCs w:val="24"/>
              </w:rPr>
            </w:pPr>
            <w:r w:rsidRPr="004E4528">
              <w:rPr>
                <w:rFonts w:ascii="Arial Narrow" w:hAnsi="Arial Narrow"/>
                <w:sz w:val="24"/>
                <w:szCs w:val="24"/>
              </w:rPr>
              <w:t>Potential flexibility for implementation challenges, including the proposed administrative cap and possibly other requirements.</w:t>
            </w:r>
          </w:p>
        </w:tc>
        <w:tc>
          <w:tcPr>
            <w:tcW w:w="310" w:type="pct"/>
            <w:shd w:val="clear" w:color="auto" w:fill="FFF2CC"/>
          </w:tcPr>
          <w:p w14:paraId="03A65EFD" w14:textId="77777777" w:rsidR="00EE3430" w:rsidRPr="004E4528" w:rsidRDefault="00EE3430">
            <w:pPr>
              <w:spacing w:line="228" w:lineRule="auto"/>
              <w:jc w:val="center"/>
              <w:rPr>
                <w:rFonts w:ascii="Arial Narrow" w:hAnsi="Arial Narrow"/>
                <w:sz w:val="24"/>
                <w:szCs w:val="24"/>
              </w:rPr>
            </w:pPr>
            <w:r w:rsidRPr="004E4528">
              <w:rPr>
                <w:rFonts w:ascii="Arial Narrow" w:hAnsi="Arial Narrow"/>
                <w:sz w:val="24"/>
                <w:szCs w:val="24"/>
              </w:rPr>
              <w:t>MEDIUM</w:t>
            </w:r>
          </w:p>
        </w:tc>
      </w:tr>
    </w:tbl>
    <w:p w14:paraId="549E69F2" w14:textId="77777777" w:rsidR="00326C6A" w:rsidRDefault="00326C6A">
      <w:pPr>
        <w:spacing w:after="40"/>
        <w:ind w:left="216"/>
        <w:rPr>
          <w:rFonts w:ascii="Arial Narrow" w:hAnsi="Arial Narrow"/>
          <w:sz w:val="24"/>
          <w:szCs w:val="24"/>
        </w:rPr>
      </w:pPr>
    </w:p>
    <w:p w14:paraId="2C86D51D" w14:textId="4BAA82D1" w:rsidR="00D84C63" w:rsidRPr="00D84C63" w:rsidRDefault="00D84C63" w:rsidP="00D84C63">
      <w:pPr>
        <w:tabs>
          <w:tab w:val="left" w:pos="8170"/>
        </w:tabs>
        <w:rPr>
          <w:rFonts w:ascii="Arial Narrow" w:hAnsi="Arial Narrow"/>
          <w:sz w:val="24"/>
          <w:szCs w:val="24"/>
        </w:rPr>
      </w:pPr>
      <w:r>
        <w:rPr>
          <w:rFonts w:ascii="Arial Narrow" w:hAnsi="Arial Narrow"/>
          <w:sz w:val="24"/>
          <w:szCs w:val="24"/>
        </w:rPr>
        <w:lastRenderedPageBreak/>
        <w:tab/>
      </w:r>
    </w:p>
    <w:sectPr w:rsidR="00D84C63" w:rsidRPr="00D84C63" w:rsidSect="003E5701">
      <w:headerReference w:type="even" r:id="rId10"/>
      <w:headerReference w:type="default" r:id="rId11"/>
      <w:footerReference w:type="even" r:id="rId12"/>
      <w:footerReference w:type="default" r:id="rId13"/>
      <w:headerReference w:type="first" r:id="rId14"/>
      <w:footerReference w:type="first" r:id="rId15"/>
      <w:pgSz w:w="20160" w:h="12240" w:orient="landscape" w:code="5"/>
      <w:pgMar w:top="720" w:right="720" w:bottom="720" w:left="720" w:header="720" w:footer="720" w:gutter="0"/>
      <w:pgNumType w:start="1"/>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C37A6" w14:textId="77777777" w:rsidR="00855925" w:rsidRDefault="00855925">
      <w:pPr>
        <w:spacing w:after="0" w:line="240" w:lineRule="auto"/>
      </w:pPr>
      <w:r>
        <w:separator/>
      </w:r>
    </w:p>
  </w:endnote>
  <w:endnote w:type="continuationSeparator" w:id="0">
    <w:p w14:paraId="579269C0" w14:textId="77777777" w:rsidR="00855925" w:rsidRDefault="0085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1" w:fontKey="{E9635C95-F72C-4B12-86DE-1796FCFD2851}"/>
    <w:embedBold r:id="rId2" w:fontKey="{69A6951C-BAAC-47E9-B4C0-3C04555EE181}"/>
    <w:embedItalic r:id="rId3" w:fontKey="{D29A1CB8-3C98-497F-B2AA-49EB07A73036}"/>
    <w:embedBoldItalic r:id="rId4" w:fontKey="{FFC20F93-07D4-4302-800C-3F98F83526B9}"/>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5" w:fontKey="{6170F341-108E-4EA2-8FF2-CE336090CE8D}"/>
    <w:embedBold r:id="rId6" w:fontKey="{DB0C0378-3B6D-49AE-879A-28A8B438681B}"/>
  </w:font>
  <w:font w:name="Cambria Math">
    <w:panose1 w:val="02040503050406030204"/>
    <w:charset w:val="00"/>
    <w:family w:val="roman"/>
    <w:pitch w:val="variable"/>
    <w:sig w:usb0="E00006FF" w:usb1="420024FF" w:usb2="02000000" w:usb3="00000000" w:csb0="0000019F" w:csb1="00000000"/>
    <w:embedRegular r:id="rId7" w:fontKey="{2D3123F0-6409-44BE-9F43-7E1C0F41ACEE}"/>
  </w:font>
  <w:font w:name="Cambria">
    <w:panose1 w:val="02040503050406030204"/>
    <w:charset w:val="00"/>
    <w:family w:val="roman"/>
    <w:pitch w:val="variable"/>
    <w:sig w:usb0="E00006FF" w:usb1="420024FF" w:usb2="02000000" w:usb3="00000000" w:csb0="0000019F" w:csb1="00000000"/>
    <w:embedRegular r:id="rId8" w:fontKey="{6D12CDE8-C12B-4967-A3B6-88871B3F2E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B199" w14:textId="77777777" w:rsidR="00FB20F9" w:rsidRDefault="00FB20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FA93" w14:textId="5DFA333A" w:rsidR="00326C6A" w:rsidRDefault="00EA2674">
    <w:pPr>
      <w:pBdr>
        <w:top w:val="nil"/>
        <w:left w:val="nil"/>
        <w:bottom w:val="nil"/>
        <w:right w:val="nil"/>
        <w:between w:val="nil"/>
      </w:pBdr>
      <w:tabs>
        <w:tab w:val="center" w:pos="4680"/>
        <w:tab w:val="right" w:pos="9360"/>
      </w:tabs>
      <w:spacing w:after="0" w:line="240" w:lineRule="auto"/>
      <w:jc w:val="center"/>
      <w:rPr>
        <w:color w:val="000000"/>
      </w:rPr>
    </w:pPr>
    <w:r>
      <w:rPr>
        <w:color w:val="000000"/>
        <w:sz w:val="14"/>
        <w:szCs w:val="14"/>
      </w:rPr>
      <w:t>Proposed Head Start Rule Planning Crosswalk | August 2026</w:t>
    </w:r>
    <w:r w:rsidR="00D84C63">
      <w:rPr>
        <w:color w:val="000000"/>
        <w:sz w:val="14"/>
        <w:szCs w:val="14"/>
      </w:rPr>
      <w:br/>
      <w:t xml:space="preserve">Florida Head Start Association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359E" w14:textId="77777777" w:rsidR="00FB20F9" w:rsidRDefault="00FB2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9714" w14:textId="77777777" w:rsidR="00855925" w:rsidRDefault="00855925">
      <w:pPr>
        <w:spacing w:after="0" w:line="240" w:lineRule="auto"/>
      </w:pPr>
      <w:r>
        <w:separator/>
      </w:r>
    </w:p>
  </w:footnote>
  <w:footnote w:type="continuationSeparator" w:id="0">
    <w:p w14:paraId="69212A9B" w14:textId="77777777" w:rsidR="00855925" w:rsidRDefault="00855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0F75" w14:textId="77777777" w:rsidR="00FB20F9" w:rsidRDefault="00FB20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0445" w14:textId="7F186CA6" w:rsidR="00FB20F9" w:rsidRPr="00FB20F9" w:rsidRDefault="00FB20F9" w:rsidP="00FB20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23CD" w14:textId="77777777" w:rsidR="00FB20F9" w:rsidRDefault="00FB2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A3817"/>
    <w:multiLevelType w:val="multilevel"/>
    <w:tmpl w:val="EEB0925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8881905">
    <w:abstractNumId w:val="0"/>
  </w:num>
  <w:num w:numId="2" w16cid:durableId="1216311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367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1198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91407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3521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C6A"/>
    <w:rsid w:val="00027FB6"/>
    <w:rsid w:val="00051B5A"/>
    <w:rsid w:val="000B6C02"/>
    <w:rsid w:val="000E2B52"/>
    <w:rsid w:val="001508D6"/>
    <w:rsid w:val="00180906"/>
    <w:rsid w:val="00194A58"/>
    <w:rsid w:val="001C737E"/>
    <w:rsid w:val="001E1763"/>
    <w:rsid w:val="0023587D"/>
    <w:rsid w:val="00262598"/>
    <w:rsid w:val="0028110A"/>
    <w:rsid w:val="00283DA9"/>
    <w:rsid w:val="002922BC"/>
    <w:rsid w:val="002B2EF2"/>
    <w:rsid w:val="002F7D7B"/>
    <w:rsid w:val="00326C6A"/>
    <w:rsid w:val="00360510"/>
    <w:rsid w:val="003741DD"/>
    <w:rsid w:val="003E5701"/>
    <w:rsid w:val="004610C1"/>
    <w:rsid w:val="00470FEC"/>
    <w:rsid w:val="004E4528"/>
    <w:rsid w:val="005056A3"/>
    <w:rsid w:val="0053578C"/>
    <w:rsid w:val="005E02EB"/>
    <w:rsid w:val="005E12FA"/>
    <w:rsid w:val="005E51EB"/>
    <w:rsid w:val="005F49FE"/>
    <w:rsid w:val="006006BD"/>
    <w:rsid w:val="00621777"/>
    <w:rsid w:val="00652966"/>
    <w:rsid w:val="006C6A8F"/>
    <w:rsid w:val="006D2EEE"/>
    <w:rsid w:val="00711764"/>
    <w:rsid w:val="00723E60"/>
    <w:rsid w:val="00757F8F"/>
    <w:rsid w:val="00793FEA"/>
    <w:rsid w:val="007A29D5"/>
    <w:rsid w:val="00820E2D"/>
    <w:rsid w:val="00855925"/>
    <w:rsid w:val="008E57C3"/>
    <w:rsid w:val="00910483"/>
    <w:rsid w:val="00921303"/>
    <w:rsid w:val="009339FE"/>
    <w:rsid w:val="00955FC7"/>
    <w:rsid w:val="00993719"/>
    <w:rsid w:val="009E091F"/>
    <w:rsid w:val="00AF039E"/>
    <w:rsid w:val="00B25E9A"/>
    <w:rsid w:val="00B706EB"/>
    <w:rsid w:val="00B7656D"/>
    <w:rsid w:val="00BF30B2"/>
    <w:rsid w:val="00C205D5"/>
    <w:rsid w:val="00C2501A"/>
    <w:rsid w:val="00C41826"/>
    <w:rsid w:val="00C9466D"/>
    <w:rsid w:val="00CA5B18"/>
    <w:rsid w:val="00CB52EE"/>
    <w:rsid w:val="00D06986"/>
    <w:rsid w:val="00D13A6D"/>
    <w:rsid w:val="00D84C63"/>
    <w:rsid w:val="00E41A5A"/>
    <w:rsid w:val="00E66349"/>
    <w:rsid w:val="00EA2674"/>
    <w:rsid w:val="00EE102C"/>
    <w:rsid w:val="00EE3430"/>
    <w:rsid w:val="00F00EF0"/>
    <w:rsid w:val="00F46F94"/>
    <w:rsid w:val="00FA6850"/>
    <w:rsid w:val="00FB20F9"/>
    <w:rsid w:val="00FC7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D6CE"/>
  <w15:docId w15:val="{4386EC8A-BFF6-4C03-80DD-5BE4B28D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6"/>
        <w:szCs w:val="16"/>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4"/>
      <w:szCs w:val="24"/>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b/>
      <w:bCs/>
      <w:color w:val="17365D"/>
      <w:sz w:val="36"/>
      <w:szCs w:val="3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s7u4xCKcF0YwUkBjiNCZoC7daQ==">CgMxLjA4AHIhMUljUDRGRkVIVHljem9JNHZ5UWhQZDVVR1FKUUNUdlZZ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45AC32-37C6-4F35-8AEE-6550CBE04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15</Pages>
  <Words>4544</Words>
  <Characters>30764</Characters>
  <Application>Microsoft Office Word</Application>
  <DocSecurity>0</DocSecurity>
  <Lines>1709</Lines>
  <Paragraphs>497</Paragraphs>
  <ScaleCrop>false</ScaleCrop>
  <Company/>
  <LinksUpToDate>false</LinksUpToDate>
  <CharactersWithSpaces>34811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Wanda Minick</cp:lastModifiedBy>
  <cp:revision>62</cp:revision>
  <cp:lastPrinted>2026-09-09T15:53:00Z</cp:lastPrinted>
  <dcterms:created xsi:type="dcterms:W3CDTF">2026-09-02T16:35:00Z</dcterms:created>
  <dcterms:modified xsi:type="dcterms:W3CDTF">2026-09-10T16:37:00Z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7c2e1981-79a0-4e0d-9a01-c4b3fec592d4</vt:lpwstr>
  </property>
</Properties>
</file>